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rPr>
          <w:rFonts w:ascii="Times New Roman" w:hAnsi="Times New Roman" w:cs="Times New Roman"/>
          <w:sz w:val="24"/>
          <w:szCs w:val="24"/>
        </w:rPr>
      </w:pPr>
    </w:p>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076545" w:rsidRPr="00BB13A3" w:rsidRDefault="00183251" w:rsidP="00076545">
      <w:pPr>
        <w:spacing w:line="240" w:lineRule="auto"/>
        <w:jc w:val="center"/>
        <w:rPr>
          <w:rFonts w:ascii="Times New Roman" w:hAnsi="Times New Roman" w:cs="Times New Roman"/>
          <w:color w:val="A6A6A6"/>
          <w:sz w:val="24"/>
          <w:szCs w:val="24"/>
        </w:rPr>
      </w:pPr>
      <w:r>
        <w:rPr>
          <w:rFonts w:ascii="Times New Roman" w:hAnsi="Times New Roman" w:cs="Times New Roman"/>
          <w:b/>
          <w:bCs/>
          <w:sz w:val="24"/>
          <w:szCs w:val="24"/>
        </w:rPr>
        <w:t>DEA Controlled Substances Use</w:t>
      </w:r>
    </w:p>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48058A" w:rsidRDefault="0048058A" w:rsidP="0048058A">
      <w:pPr>
        <w:spacing w:line="240" w:lineRule="auto"/>
        <w:contextualSpacing/>
        <w:rPr>
          <w:rFonts w:ascii="Times New Roman" w:hAnsi="Times New Roman" w:cs="Times New Roman"/>
          <w:b/>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00183251">
        <w:rPr>
          <w:rFonts w:ascii="Times New Roman" w:hAnsi="Times New Roman" w:cs="Times New Roman"/>
          <w:sz w:val="24"/>
          <w:szCs w:val="24"/>
        </w:rPr>
        <w:t>x</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183251">
        <w:rPr>
          <w:rFonts w:ascii="Times New Roman" w:hAnsi="Times New Roman" w:cs="Times New Roman"/>
          <w:sz w:val="24"/>
          <w:szCs w:val="24"/>
        </w:rPr>
        <w:t>x</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the intended use of a process</w:t>
      </w:r>
      <w:r w:rsidR="005E708F" w:rsidRPr="00BB13A3">
        <w:rPr>
          <w:rFonts w:ascii="Times New Roman" w:hAnsi="Times New Roman" w:cs="Times New Roman"/>
          <w:sz w:val="24"/>
          <w:szCs w:val="24"/>
          <w:highlight w:val="yellow"/>
        </w:rPr>
        <w:t>/equipment/chemical</w:t>
      </w:r>
      <w:r w:rsidRPr="00BB13A3">
        <w:rPr>
          <w:rFonts w:ascii="Times New Roman" w:hAnsi="Times New Roman" w:cs="Times New Roman"/>
          <w:sz w:val="24"/>
          <w:szCs w:val="24"/>
          <w:highlight w:val="yellow"/>
        </w:rPr>
        <w:t>]</w:t>
      </w: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Procedure</w:t>
      </w:r>
      <w:r w:rsidR="00E65E81" w:rsidRPr="00BB13A3">
        <w:rPr>
          <w:rFonts w:ascii="Times New Roman" w:hAnsi="Times New Roman"/>
          <w:b/>
          <w:sz w:val="24"/>
          <w:szCs w:val="24"/>
          <w:u w:val="single"/>
        </w:rPr>
        <w:t>/Scope:</w:t>
      </w:r>
    </w:p>
    <w:p w:rsidR="00183251" w:rsidRDefault="00183251" w:rsidP="00183251">
      <w:p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[List or otherwise identify procedures that involved controlled substance use]</w:t>
      </w:r>
    </w:p>
    <w:p w:rsidR="00076545" w:rsidRPr="00BB13A3" w:rsidRDefault="00076545" w:rsidP="00183251">
      <w:p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Properties/Definition of Chemical Group</w:t>
      </w:r>
      <w:r w:rsidRPr="00BB13A3">
        <w:rPr>
          <w:rFonts w:ascii="Times New Roman" w:hAnsi="Times New Roman"/>
          <w:b/>
          <w:sz w:val="24"/>
          <w:szCs w:val="24"/>
        </w:rPr>
        <w:t xml:space="preserve"> </w:t>
      </w:r>
    </w:p>
    <w:p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CAS#: </w:t>
      </w:r>
      <w:r w:rsidR="00C4016F" w:rsidRPr="00BB13A3">
        <w:rPr>
          <w:rFonts w:ascii="Times New Roman" w:hAnsi="Times New Roman" w:cs="Times New Roman"/>
          <w:sz w:val="24"/>
          <w:szCs w:val="24"/>
        </w:rPr>
        <w:t>[</w:t>
      </w:r>
      <w:r w:rsidRPr="00BB13A3">
        <w:rPr>
          <w:rFonts w:ascii="Times New Roman" w:hAnsi="Times New Roman" w:cs="Times New Roman"/>
          <w:sz w:val="24"/>
          <w:szCs w:val="24"/>
          <w:highlight w:val="yellow"/>
        </w:rPr>
        <w:t>Insert CAS Number</w:t>
      </w:r>
      <w:r w:rsidR="00C4016F" w:rsidRPr="00BB13A3">
        <w:rPr>
          <w:rFonts w:ascii="Times New Roman" w:hAnsi="Times New Roman" w:cs="Times New Roman"/>
          <w:sz w:val="24"/>
          <w:szCs w:val="24"/>
        </w:rPr>
        <w:t>]</w:t>
      </w:r>
    </w:p>
    <w:p w:rsidR="00183251" w:rsidRPr="00BB13A3" w:rsidRDefault="00183251" w:rsidP="00076545">
      <w:pPr>
        <w:spacing w:line="240" w:lineRule="auto"/>
        <w:rPr>
          <w:rFonts w:ascii="Times New Roman" w:hAnsi="Times New Roman" w:cs="Times New Roman"/>
          <w:sz w:val="24"/>
          <w:szCs w:val="24"/>
        </w:rPr>
      </w:pPr>
      <w:r w:rsidRPr="00183251">
        <w:rPr>
          <w:rFonts w:ascii="Times New Roman" w:hAnsi="Times New Roman" w:cs="Times New Roman"/>
          <w:sz w:val="24"/>
          <w:szCs w:val="24"/>
          <w:highlight w:val="yellow"/>
        </w:rPr>
        <w:t>[Important safety information regarding accidental exposure]</w:t>
      </w: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r w:rsidR="00997B4D" w:rsidRPr="00BB13A3">
        <w:rPr>
          <w:rFonts w:ascii="Times New Roman" w:hAnsi="Times New Roman"/>
          <w:b/>
          <w:color w:val="D03C20"/>
          <w:sz w:val="24"/>
          <w:szCs w:val="24"/>
        </w:rPr>
        <w:t>(Describe the correct PPE for working with the chemical</w:t>
      </w:r>
      <w:r w:rsidR="0095041F" w:rsidRPr="00BB13A3">
        <w:rPr>
          <w:rFonts w:ascii="Times New Roman" w:hAnsi="Times New Roman"/>
          <w:b/>
          <w:color w:val="D03C20"/>
          <w:sz w:val="24"/>
          <w:szCs w:val="24"/>
        </w:rPr>
        <w:t xml:space="preserve"> or</w:t>
      </w:r>
      <w:r w:rsidR="00B16B66" w:rsidRPr="00BB13A3">
        <w:rPr>
          <w:rFonts w:ascii="Times New Roman" w:hAnsi="Times New Roman"/>
          <w:b/>
          <w:color w:val="D03C20"/>
          <w:sz w:val="24"/>
          <w:szCs w:val="24"/>
        </w:rPr>
        <w:t xml:space="preserve"> needed during the</w:t>
      </w:r>
      <w:r w:rsidR="0095041F" w:rsidRPr="00BB13A3">
        <w:rPr>
          <w:rFonts w:ascii="Times New Roman" w:hAnsi="Times New Roman"/>
          <w:b/>
          <w:color w:val="D03C20"/>
          <w:sz w:val="24"/>
          <w:szCs w:val="24"/>
        </w:rPr>
        <w:t xml:space="preserve"> process</w:t>
      </w:r>
      <w:r w:rsidR="00997B4D" w:rsidRPr="00BB13A3">
        <w:rPr>
          <w:rFonts w:ascii="Times New Roman" w:hAnsi="Times New Roman"/>
          <w:b/>
          <w:color w:val="D03C20"/>
          <w:sz w:val="24"/>
          <w:szCs w:val="24"/>
        </w:rPr>
        <w:t>)</w:t>
      </w:r>
    </w:p>
    <w:p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rsidR="00076545" w:rsidRPr="00BB13A3" w:rsidRDefault="00076545" w:rsidP="00076545">
      <w:pPr>
        <w:pStyle w:val="NoSpacing"/>
        <w:rPr>
          <w:rFonts w:ascii="Times New Roman" w:hAnsi="Times New Roman"/>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Hand Protection</w:t>
      </w:r>
    </w:p>
    <w:p w:rsidR="00076545" w:rsidRPr="00BB13A3" w:rsidRDefault="00076545" w:rsidP="00076545">
      <w:pPr>
        <w:pStyle w:val="NoSpacing"/>
        <w:rPr>
          <w:rFonts w:ascii="Times New Roman" w:hAnsi="Times New Roman"/>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Eye Protection</w:t>
      </w:r>
    </w:p>
    <w:p w:rsidR="00076545" w:rsidRPr="00BB13A3" w:rsidRDefault="00076545"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Skin and Body Protection</w:t>
      </w:r>
    </w:p>
    <w:p w:rsidR="005E708F" w:rsidRPr="00BB13A3" w:rsidRDefault="005E708F" w:rsidP="00076545">
      <w:pPr>
        <w:pStyle w:val="NoSpacing"/>
        <w:rPr>
          <w:rFonts w:ascii="Times New Roman" w:hAnsi="Times New Roman"/>
          <w:b/>
          <w:sz w:val="24"/>
          <w:szCs w:val="24"/>
        </w:rPr>
      </w:pPr>
    </w:p>
    <w:p w:rsidR="005E708F" w:rsidRPr="00BB13A3" w:rsidRDefault="005E708F" w:rsidP="00076545">
      <w:pPr>
        <w:pStyle w:val="NoSpacing"/>
        <w:rPr>
          <w:rFonts w:ascii="Times New Roman" w:hAnsi="Times New Roman"/>
          <w:b/>
          <w:sz w:val="24"/>
          <w:szCs w:val="24"/>
        </w:rPr>
      </w:pPr>
      <w:r w:rsidRPr="00BB13A3">
        <w:rPr>
          <w:rFonts w:ascii="Times New Roman" w:hAnsi="Times New Roman"/>
          <w:b/>
          <w:sz w:val="24"/>
          <w:szCs w:val="24"/>
        </w:rPr>
        <w:t>Respiratory Protection</w:t>
      </w:r>
    </w:p>
    <w:p w:rsidR="002C72A0" w:rsidRPr="00BB13A3" w:rsidRDefault="002C72A0"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Hygiene Measures</w:t>
      </w:r>
    </w:p>
    <w:p w:rsidR="002C72A0" w:rsidRPr="00BB13A3" w:rsidRDefault="002C72A0" w:rsidP="00076545">
      <w:pPr>
        <w:pStyle w:val="NoSpacing"/>
        <w:rPr>
          <w:rFonts w:ascii="Times New Roman" w:hAnsi="Times New Roman"/>
          <w:b/>
          <w:sz w:val="24"/>
          <w:szCs w:val="24"/>
        </w:rPr>
      </w:pPr>
    </w:p>
    <w:p w:rsidR="00144C40" w:rsidRPr="00BB13A3" w:rsidRDefault="00183251"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Security and Access Control</w:t>
      </w:r>
    </w:p>
    <w:p w:rsidR="00144C40" w:rsidRDefault="00183251" w:rsidP="00076545">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[Describe the type of locking structure and how it meets DEA security requirement (i.e</w:t>
      </w:r>
      <w:r w:rsidRPr="00183251">
        <w:rPr>
          <w:rFonts w:ascii="Times New Roman" w:hAnsi="Times New Roman" w:cs="Times New Roman"/>
          <w:sz w:val="24"/>
          <w:szCs w:val="24"/>
          <w:highlight w:val="yellow"/>
        </w:rPr>
        <w:t>. double locked safe, lock both tethered inside a cabinet/refriger</w:t>
      </w:r>
      <w:r>
        <w:rPr>
          <w:rFonts w:ascii="Times New Roman" w:hAnsi="Times New Roman" w:cs="Times New Roman"/>
          <w:sz w:val="24"/>
          <w:szCs w:val="24"/>
          <w:highlight w:val="yellow"/>
        </w:rPr>
        <w:t>ator, locked refrigerator, etc.)]</w:t>
      </w:r>
    </w:p>
    <w:p w:rsidR="00183251" w:rsidRDefault="00183251" w:rsidP="00076545">
      <w:pPr>
        <w:spacing w:line="240" w:lineRule="auto"/>
        <w:rPr>
          <w:rFonts w:ascii="Times New Roman" w:hAnsi="Times New Roman" w:cs="Times New Roman"/>
          <w:sz w:val="24"/>
          <w:szCs w:val="24"/>
        </w:rPr>
      </w:pPr>
      <w:r>
        <w:rPr>
          <w:rFonts w:ascii="Times New Roman" w:hAnsi="Times New Roman" w:cs="Times New Roman"/>
          <w:sz w:val="24"/>
          <w:szCs w:val="24"/>
        </w:rPr>
        <w:t xml:space="preserve">Only Authorized users shall have access to DEA Controlled Substances. Authorized User Form available upon request. </w:t>
      </w:r>
    </w:p>
    <w:p w:rsidR="00183251" w:rsidRPr="00BB13A3" w:rsidRDefault="00183251" w:rsidP="00076545">
      <w:pPr>
        <w:spacing w:line="240" w:lineRule="auto"/>
        <w:rPr>
          <w:rFonts w:ascii="Times New Roman" w:hAnsi="Times New Roman" w:cs="Times New Roman"/>
          <w:sz w:val="24"/>
          <w:szCs w:val="24"/>
        </w:rPr>
      </w:pPr>
      <w:r w:rsidRPr="00183251">
        <w:rPr>
          <w:rFonts w:ascii="Times New Roman" w:hAnsi="Times New Roman" w:cs="Times New Roman"/>
          <w:sz w:val="24"/>
          <w:szCs w:val="24"/>
          <w:highlight w:val="yellow"/>
        </w:rPr>
        <w:t>Procedure for access and returning controlled substances from different locations:</w:t>
      </w:r>
      <w:r>
        <w:rPr>
          <w:rFonts w:ascii="Times New Roman" w:hAnsi="Times New Roman" w:cs="Times New Roman"/>
          <w:sz w:val="24"/>
          <w:szCs w:val="24"/>
        </w:rPr>
        <w:t xml:space="preserve"> [Example: Authorized users needing to use a controlled substance will request the key to the lock box and locked cabinet from the lab manager. The user will retrieve the drug needed, lock the box and cabinet, and return the keys to the lab manager before proceeding to perform their experiment. Upon completion of an experiment, the authorized user will request the keys from the lab manager, return the stock bottle to the lock box, and ret</w:t>
      </w:r>
      <w:r w:rsidR="00556873">
        <w:rPr>
          <w:rFonts w:ascii="Times New Roman" w:hAnsi="Times New Roman" w:cs="Times New Roman"/>
          <w:sz w:val="24"/>
          <w:szCs w:val="24"/>
        </w:rPr>
        <w:t>urn the keys to the lab manager]</w:t>
      </w:r>
      <w:r>
        <w:rPr>
          <w:rFonts w:ascii="Times New Roman" w:hAnsi="Times New Roman" w:cs="Times New Roman"/>
          <w:sz w:val="24"/>
          <w:szCs w:val="24"/>
        </w:rPr>
        <w:t xml:space="preserve">. </w:t>
      </w:r>
    </w:p>
    <w:p w:rsidR="00076545" w:rsidRPr="00BB13A3" w:rsidRDefault="00556873"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Lost or Stolen Controlled Substances</w:t>
      </w:r>
    </w:p>
    <w:p w:rsidR="00556873" w:rsidRPr="00556873" w:rsidRDefault="00556873" w:rsidP="00556873">
      <w:pPr>
        <w:rPr>
          <w:rFonts w:ascii="Times New Roman" w:hAnsi="Times New Roman" w:cs="Times New Roman"/>
          <w:b/>
          <w:sz w:val="24"/>
        </w:rPr>
      </w:pPr>
      <w:r w:rsidRPr="00556873">
        <w:rPr>
          <w:rFonts w:ascii="Times New Roman" w:hAnsi="Times New Roman" w:cs="Times New Roman"/>
          <w:b/>
          <w:sz w:val="24"/>
        </w:rPr>
        <w:t>Procedures for reporting lost or stolen controlled substances (all thefts or losses of controlled substances must be reported to Public Safety and EH&amp;S immediately upon discovery):</w:t>
      </w:r>
    </w:p>
    <w:p w:rsidR="00556873" w:rsidRPr="00556873" w:rsidRDefault="00556873" w:rsidP="00556873">
      <w:pPr>
        <w:rPr>
          <w:rFonts w:ascii="Times New Roman" w:hAnsi="Times New Roman" w:cs="Times New Roman"/>
          <w:color w:val="000000"/>
          <w:sz w:val="24"/>
        </w:rPr>
      </w:pPr>
      <w:r w:rsidRPr="00556873">
        <w:rPr>
          <w:rFonts w:ascii="Times New Roman" w:hAnsi="Times New Roman" w:cs="Times New Roman"/>
          <w:color w:val="000000"/>
          <w:sz w:val="24"/>
        </w:rPr>
        <w:t>Significant losses or theft must be reported </w:t>
      </w:r>
      <w:r w:rsidRPr="00556873">
        <w:rPr>
          <w:rFonts w:ascii="Times New Roman" w:hAnsi="Times New Roman" w:cs="Times New Roman"/>
          <w:bCs/>
          <w:color w:val="000000"/>
          <w:sz w:val="24"/>
        </w:rPr>
        <w:t>immediately</w:t>
      </w:r>
      <w:r w:rsidRPr="00556873">
        <w:rPr>
          <w:rFonts w:ascii="Times New Roman" w:hAnsi="Times New Roman" w:cs="Times New Roman"/>
          <w:color w:val="000000"/>
          <w:sz w:val="24"/>
        </w:rPr>
        <w:t> to the DEA.  In addition, OSU Public Safety and Controlled Substance Program Coordinator must be contacted.</w:t>
      </w:r>
    </w:p>
    <w:p w:rsidR="00556873" w:rsidRPr="00556873" w:rsidRDefault="00556873" w:rsidP="00556873">
      <w:pPr>
        <w:rPr>
          <w:rFonts w:ascii="Times New Roman" w:hAnsi="Times New Roman" w:cs="Times New Roman"/>
          <w:color w:val="000000"/>
          <w:sz w:val="24"/>
        </w:rPr>
      </w:pPr>
      <w:r w:rsidRPr="00556873">
        <w:rPr>
          <w:rFonts w:ascii="Times New Roman" w:hAnsi="Times New Roman" w:cs="Times New Roman"/>
          <w:color w:val="000000"/>
          <w:sz w:val="24"/>
        </w:rPr>
        <w:t>The registrant should provide initial notification in writing of the loss or theft to the DEA Portland field office. Immediately fax to the DEA Portland field office.</w:t>
      </w:r>
    </w:p>
    <w:p w:rsidR="00556873" w:rsidRPr="00556873" w:rsidRDefault="00556873" w:rsidP="00556873">
      <w:pPr>
        <w:ind w:left="600"/>
        <w:rPr>
          <w:rFonts w:ascii="Times New Roman" w:hAnsi="Times New Roman" w:cs="Times New Roman"/>
          <w:sz w:val="24"/>
        </w:rPr>
      </w:pPr>
      <w:r w:rsidRPr="00556873">
        <w:rPr>
          <w:rFonts w:ascii="Times New Roman" w:hAnsi="Times New Roman" w:cs="Times New Roman"/>
          <w:bCs/>
          <w:sz w:val="24"/>
        </w:rPr>
        <w:t>PORTLAND DISTRICT OFFICE</w:t>
      </w:r>
    </w:p>
    <w:p w:rsidR="00556873" w:rsidRPr="00556873" w:rsidRDefault="00556873" w:rsidP="00556873">
      <w:pPr>
        <w:ind w:left="600"/>
        <w:rPr>
          <w:rFonts w:ascii="Times New Roman" w:hAnsi="Times New Roman" w:cs="Times New Roman"/>
          <w:sz w:val="24"/>
        </w:rPr>
      </w:pPr>
      <w:r w:rsidRPr="00556873">
        <w:rPr>
          <w:rFonts w:ascii="Times New Roman" w:hAnsi="Times New Roman" w:cs="Times New Roman"/>
          <w:sz w:val="24"/>
        </w:rPr>
        <w:lastRenderedPageBreak/>
        <w:t>100 SW MAIN STREET</w:t>
      </w:r>
      <w:r w:rsidRPr="00556873">
        <w:rPr>
          <w:rFonts w:ascii="Times New Roman" w:hAnsi="Times New Roman" w:cs="Times New Roman"/>
          <w:sz w:val="24"/>
        </w:rPr>
        <w:br/>
        <w:t xml:space="preserve">SUITE 500 </w:t>
      </w:r>
      <w:r w:rsidRPr="00556873">
        <w:rPr>
          <w:rFonts w:ascii="Times New Roman" w:hAnsi="Times New Roman" w:cs="Times New Roman"/>
          <w:sz w:val="24"/>
        </w:rPr>
        <w:br/>
        <w:t>PORTLAND, OR 97204</w:t>
      </w:r>
    </w:p>
    <w:p w:rsidR="00556873" w:rsidRPr="00556873" w:rsidRDefault="00556873" w:rsidP="00556873">
      <w:pPr>
        <w:ind w:left="600"/>
        <w:rPr>
          <w:rFonts w:ascii="Times New Roman" w:hAnsi="Times New Roman" w:cs="Times New Roman"/>
          <w:color w:val="222222"/>
          <w:sz w:val="24"/>
          <w:bdr w:val="none" w:sz="0" w:space="0" w:color="auto" w:frame="1"/>
        </w:rPr>
      </w:pPr>
      <w:r w:rsidRPr="00556873">
        <w:rPr>
          <w:rFonts w:ascii="Times New Roman" w:hAnsi="Times New Roman" w:cs="Times New Roman"/>
          <w:color w:val="222222"/>
          <w:sz w:val="24"/>
        </w:rPr>
        <w:t xml:space="preserve">Phone 1: </w:t>
      </w:r>
      <w:r w:rsidRPr="00556873">
        <w:rPr>
          <w:rFonts w:ascii="Times New Roman" w:hAnsi="Times New Roman" w:cs="Times New Roman"/>
          <w:color w:val="222222"/>
          <w:sz w:val="24"/>
          <w:bdr w:val="none" w:sz="0" w:space="0" w:color="auto" w:frame="1"/>
        </w:rPr>
        <w:t>(888) 219 4261</w:t>
      </w:r>
      <w:r w:rsidRPr="00556873">
        <w:rPr>
          <w:rFonts w:ascii="Times New Roman" w:hAnsi="Times New Roman" w:cs="Times New Roman"/>
          <w:color w:val="222222"/>
          <w:sz w:val="24"/>
        </w:rPr>
        <w:br/>
        <w:t xml:space="preserve">Fax 1: </w:t>
      </w:r>
      <w:r w:rsidRPr="00556873">
        <w:rPr>
          <w:rFonts w:ascii="Times New Roman" w:hAnsi="Times New Roman" w:cs="Times New Roman"/>
          <w:color w:val="222222"/>
          <w:sz w:val="24"/>
          <w:bdr w:val="none" w:sz="0" w:space="0" w:color="auto" w:frame="1"/>
        </w:rPr>
        <w:t>(503) 721 6602</w:t>
      </w:r>
    </w:p>
    <w:p w:rsidR="00556873" w:rsidRPr="00556873" w:rsidRDefault="00556873" w:rsidP="00556873">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rPr>
      </w:pPr>
      <w:r w:rsidRPr="00556873">
        <w:rPr>
          <w:rFonts w:ascii="Times New Roman" w:hAnsi="Times New Roman" w:cs="Times New Roman"/>
          <w:color w:val="000000"/>
          <w:sz w:val="24"/>
        </w:rPr>
        <w:t>Use online DEA Form 106: Report of Loss or Theft to follow up with the faxed report.</w:t>
      </w:r>
    </w:p>
    <w:p w:rsidR="00556873" w:rsidRPr="00556873" w:rsidRDefault="00556873" w:rsidP="00556873">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rPr>
      </w:pPr>
      <w:r w:rsidRPr="00556873">
        <w:rPr>
          <w:rFonts w:ascii="Times New Roman" w:hAnsi="Times New Roman" w:cs="Times New Roman"/>
          <w:color w:val="000000"/>
          <w:sz w:val="24"/>
        </w:rPr>
        <w:t>All in transit losses and lost DEA Form 222s must be reported to the DEA.</w:t>
      </w:r>
    </w:p>
    <w:p w:rsidR="00556873" w:rsidRPr="00556873" w:rsidRDefault="00556873" w:rsidP="00556873">
      <w:pPr>
        <w:shd w:val="clear" w:color="auto" w:fill="FFFFFF"/>
        <w:spacing w:before="100" w:beforeAutospacing="1" w:after="100" w:afterAutospacing="1"/>
        <w:rPr>
          <w:rFonts w:ascii="Times New Roman" w:hAnsi="Times New Roman" w:cs="Times New Roman"/>
          <w:color w:val="000000"/>
          <w:sz w:val="24"/>
        </w:rPr>
      </w:pPr>
      <w:r w:rsidRPr="00556873">
        <w:rPr>
          <w:rFonts w:ascii="Times New Roman" w:hAnsi="Times New Roman" w:cs="Times New Roman"/>
          <w:color w:val="000000"/>
          <w:sz w:val="24"/>
        </w:rPr>
        <w:t>During initial inquiries into the incident, registrants must complete an online DEA Form 106: </w:t>
      </w:r>
      <w:hyperlink r:id="rId8" w:history="1">
        <w:r w:rsidRPr="00556873">
          <w:rPr>
            <w:rFonts w:ascii="Times New Roman" w:hAnsi="Times New Roman" w:cs="Times New Roman"/>
            <w:color w:val="0000FF"/>
            <w:sz w:val="24"/>
            <w:u w:val="single"/>
          </w:rPr>
          <w:t>Report of Theft or Loss of Controlled Substances Form 106</w:t>
        </w:r>
      </w:hyperlink>
      <w:r w:rsidRPr="00556873">
        <w:rPr>
          <w:rFonts w:ascii="Times New Roman" w:hAnsi="Times New Roman" w:cs="Times New Roman"/>
          <w:color w:val="000000"/>
          <w:sz w:val="24"/>
        </w:rPr>
        <w:t>. A report must still be filed if lost or stolen material is recovered. </w:t>
      </w:r>
    </w:p>
    <w:p w:rsidR="00556873" w:rsidRPr="00556873" w:rsidRDefault="00556873" w:rsidP="00556873">
      <w:pPr>
        <w:shd w:val="clear" w:color="auto" w:fill="FFFFFF"/>
        <w:spacing w:before="100" w:beforeAutospacing="1" w:after="100" w:afterAutospacing="1"/>
        <w:rPr>
          <w:rFonts w:cstheme="minorHAnsi"/>
          <w:color w:val="000000"/>
          <w:sz w:val="24"/>
        </w:rPr>
      </w:pPr>
      <w:r w:rsidRPr="00556873">
        <w:rPr>
          <w:rFonts w:ascii="Times New Roman" w:hAnsi="Times New Roman" w:cs="Times New Roman"/>
          <w:color w:val="000000"/>
          <w:sz w:val="24"/>
        </w:rPr>
        <w:t>Minor discrepancies in inventory </w:t>
      </w:r>
      <w:r w:rsidRPr="00556873">
        <w:rPr>
          <w:rFonts w:ascii="Times New Roman" w:hAnsi="Times New Roman" w:cs="Times New Roman"/>
          <w:b/>
          <w:bCs/>
          <w:color w:val="000000"/>
          <w:sz w:val="24"/>
        </w:rPr>
        <w:t>that are not attributed to theft or loss</w:t>
      </w:r>
      <w:r w:rsidRPr="00556873">
        <w:rPr>
          <w:rFonts w:ascii="Times New Roman" w:hAnsi="Times New Roman" w:cs="Times New Roman"/>
          <w:color w:val="000000"/>
          <w:sz w:val="24"/>
        </w:rPr>
        <w:t> can be reconciled on the inventory report with proper notation. A DEA Form 106 does not need to be submitted for this purpose. However, the DEA should be contacted for guidance on how to proceed with such matters. The DEA recommends a registrant should determine significant loss in relation to controlled substance activity, patterns or trends of loss, and loss of controlled substances with high risk of diversion. Refer to the </w:t>
      </w:r>
      <w:hyperlink r:id="rId9" w:history="1">
        <w:r w:rsidRPr="00556873">
          <w:rPr>
            <w:rFonts w:ascii="Times New Roman" w:hAnsi="Times New Roman" w:cs="Times New Roman"/>
            <w:color w:val="0000FF"/>
            <w:sz w:val="24"/>
            <w:u w:val="single"/>
          </w:rPr>
          <w:t>DEA Office for Diversion Control</w:t>
        </w:r>
      </w:hyperlink>
      <w:r w:rsidRPr="00556873">
        <w:rPr>
          <w:rFonts w:ascii="Times New Roman" w:hAnsi="Times New Roman" w:cs="Times New Roman"/>
          <w:color w:val="000000"/>
          <w:sz w:val="24"/>
        </w:rPr>
        <w:t> for more information.</w:t>
      </w:r>
    </w:p>
    <w:p w:rsidR="00A83349" w:rsidRPr="00BB13A3" w:rsidRDefault="00556873" w:rsidP="005B5E45">
      <w:pPr>
        <w:pStyle w:val="ListParagraph"/>
        <w:numPr>
          <w:ilvl w:val="0"/>
          <w:numId w:val="13"/>
        </w:numPr>
        <w:spacing w:line="240" w:lineRule="auto"/>
        <w:rPr>
          <w:rFonts w:ascii="Times New Roman" w:hAnsi="Times New Roman"/>
          <w:b/>
          <w:color w:val="D03C20"/>
          <w:sz w:val="24"/>
          <w:szCs w:val="24"/>
          <w:u w:val="single"/>
        </w:rPr>
      </w:pPr>
      <w:r>
        <w:rPr>
          <w:rFonts w:ascii="Times New Roman" w:hAnsi="Times New Roman"/>
          <w:b/>
          <w:sz w:val="24"/>
          <w:szCs w:val="24"/>
          <w:u w:val="single"/>
        </w:rPr>
        <w:t>Record Keeping</w:t>
      </w:r>
    </w:p>
    <w:p w:rsidR="00556873" w:rsidRPr="00556873" w:rsidRDefault="00556873" w:rsidP="00556873">
      <w:pPr>
        <w:rPr>
          <w:rFonts w:ascii="Times New Roman" w:hAnsi="Times New Roman" w:cs="Times New Roman"/>
          <w:sz w:val="24"/>
        </w:rPr>
      </w:pPr>
      <w:r w:rsidRPr="00556873">
        <w:rPr>
          <w:rFonts w:ascii="Times New Roman" w:hAnsi="Times New Roman" w:cs="Times New Roman"/>
          <w:sz w:val="24"/>
          <w:highlight w:val="yellow"/>
        </w:rPr>
        <w:t>Describe the process for tracking usage of controlled substances on usage logs.  E.g. authorized user will note their name and date when obtaining a drug from secured storage.  Upon completion of an experiment and return of the stock bottle to secure storage, they will note the volume of drug used.)</w:t>
      </w:r>
    </w:p>
    <w:p w:rsidR="00556873" w:rsidRPr="00556873" w:rsidRDefault="00556873" w:rsidP="00556873">
      <w:pPr>
        <w:ind w:left="-30"/>
        <w:contextualSpacing/>
        <w:rPr>
          <w:rFonts w:ascii="Times New Roman" w:hAnsi="Times New Roman" w:cs="Times New Roman"/>
          <w:color w:val="252525"/>
          <w:sz w:val="24"/>
        </w:rPr>
      </w:pPr>
      <w:r w:rsidRPr="00556873">
        <w:rPr>
          <w:rFonts w:ascii="Times New Roman" w:hAnsi="Times New Roman" w:cs="Times New Roman"/>
          <w:color w:val="252525"/>
          <w:sz w:val="24"/>
        </w:rPr>
        <w:t xml:space="preserve">A Controlled Substance Usage Log will be used to log the physical balance of the CSs at all times, and all discrepancies will be documented with explanation. This form will be kept for the duration of the project plus an additional 3 years. An up-to-date inventory will be kept through OSU’s EHS Assistance inventory log online. </w:t>
      </w:r>
    </w:p>
    <w:p w:rsidR="00556873" w:rsidRPr="00556873" w:rsidRDefault="00556873" w:rsidP="00556873">
      <w:pPr>
        <w:ind w:left="-30"/>
        <w:contextualSpacing/>
        <w:rPr>
          <w:rFonts w:ascii="Times New Roman" w:hAnsi="Times New Roman" w:cs="Times New Roman"/>
          <w:color w:val="252525"/>
          <w:sz w:val="24"/>
        </w:rPr>
      </w:pPr>
    </w:p>
    <w:p w:rsidR="00556873" w:rsidRPr="00556873" w:rsidRDefault="00556873" w:rsidP="00556873">
      <w:pPr>
        <w:ind w:left="-30"/>
        <w:contextualSpacing/>
        <w:rPr>
          <w:rFonts w:ascii="Times New Roman" w:hAnsi="Times New Roman" w:cs="Times New Roman"/>
          <w:color w:val="252525"/>
          <w:sz w:val="24"/>
        </w:rPr>
      </w:pPr>
      <w:r w:rsidRPr="00556873">
        <w:rPr>
          <w:rFonts w:ascii="Times New Roman" w:hAnsi="Times New Roman" w:cs="Times New Roman"/>
          <w:color w:val="252525"/>
          <w:sz w:val="24"/>
        </w:rPr>
        <w:t>A dilution log will be used to log a dilution, and each dilution will have its individual dilution log.  These forms will be kept for the duration of the project plus an additional 3 years.</w:t>
      </w:r>
    </w:p>
    <w:p w:rsidR="00556873" w:rsidRPr="00556873" w:rsidRDefault="00556873" w:rsidP="00556873">
      <w:pPr>
        <w:ind w:left="-30"/>
        <w:contextualSpacing/>
        <w:rPr>
          <w:rFonts w:ascii="Times New Roman" w:hAnsi="Times New Roman" w:cs="Times New Roman"/>
          <w:color w:val="252525"/>
          <w:sz w:val="24"/>
        </w:rPr>
      </w:pPr>
    </w:p>
    <w:p w:rsidR="00556873" w:rsidRPr="00556873" w:rsidRDefault="00556873" w:rsidP="00556873">
      <w:pPr>
        <w:ind w:left="-30"/>
        <w:contextualSpacing/>
        <w:rPr>
          <w:rFonts w:ascii="Times New Roman" w:hAnsi="Times New Roman" w:cs="Times New Roman"/>
          <w:color w:val="252525"/>
          <w:sz w:val="24"/>
        </w:rPr>
      </w:pPr>
      <w:r w:rsidRPr="00556873">
        <w:rPr>
          <w:rFonts w:ascii="Times New Roman" w:hAnsi="Times New Roman" w:cs="Times New Roman"/>
          <w:color w:val="252525"/>
          <w:sz w:val="24"/>
        </w:rPr>
        <w:t xml:space="preserve">Only authorized users on the “Authorized Users Signature Log” will be able to conduct research with the CSs. The user(s) will be trained on the proper procedures on handling, storage, and the “CS Usage Log.”   </w:t>
      </w:r>
    </w:p>
    <w:p w:rsidR="00556873" w:rsidRPr="00556873" w:rsidRDefault="00556873" w:rsidP="00556873">
      <w:pPr>
        <w:pStyle w:val="ListParagraph"/>
        <w:numPr>
          <w:ilvl w:val="0"/>
          <w:numId w:val="15"/>
        </w:numPr>
        <w:spacing w:after="0" w:line="240" w:lineRule="auto"/>
        <w:rPr>
          <w:rFonts w:ascii="Times New Roman" w:hAnsi="Times New Roman"/>
          <w:b/>
          <w:sz w:val="24"/>
        </w:rPr>
      </w:pPr>
      <w:r w:rsidRPr="00556873">
        <w:rPr>
          <w:rFonts w:ascii="Times New Roman" w:hAnsi="Times New Roman"/>
          <w:b/>
          <w:sz w:val="24"/>
        </w:rPr>
        <w:t>Other Record Keeping requirements:</w:t>
      </w:r>
    </w:p>
    <w:p w:rsidR="00556873" w:rsidRPr="00556873" w:rsidRDefault="00556873" w:rsidP="00556873">
      <w:pPr>
        <w:pStyle w:val="ListParagraph"/>
        <w:rPr>
          <w:rFonts w:ascii="Times New Roman" w:hAnsi="Times New Roman"/>
          <w:b/>
          <w:sz w:val="24"/>
        </w:rPr>
      </w:pPr>
    </w:p>
    <w:p w:rsidR="00556873" w:rsidRPr="00556873" w:rsidRDefault="00556873" w:rsidP="00556873">
      <w:pPr>
        <w:pStyle w:val="ListParagraph"/>
        <w:numPr>
          <w:ilvl w:val="0"/>
          <w:numId w:val="15"/>
        </w:numPr>
        <w:shd w:val="clear" w:color="auto" w:fill="FFFFFF"/>
        <w:spacing w:before="100" w:beforeAutospacing="1" w:after="100" w:afterAutospacing="1" w:line="240" w:lineRule="auto"/>
        <w:rPr>
          <w:rFonts w:ascii="Times New Roman" w:hAnsi="Times New Roman"/>
          <w:color w:val="000000"/>
          <w:spacing w:val="4"/>
          <w:sz w:val="24"/>
          <w:lang w:val="en"/>
        </w:rPr>
      </w:pPr>
      <w:r w:rsidRPr="00556873">
        <w:rPr>
          <w:rFonts w:ascii="Times New Roman" w:hAnsi="Times New Roman"/>
          <w:color w:val="000000"/>
          <w:spacing w:val="4"/>
          <w:sz w:val="24"/>
          <w:lang w:val="en"/>
        </w:rPr>
        <w:lastRenderedPageBreak/>
        <w:t>All records must be kept on hand for at least 2 years from the date of record (the date on which you received the substance).</w:t>
      </w:r>
    </w:p>
    <w:p w:rsidR="00556873" w:rsidRPr="00556873" w:rsidRDefault="00556873" w:rsidP="00556873">
      <w:pPr>
        <w:pStyle w:val="ListParagraph"/>
        <w:numPr>
          <w:ilvl w:val="0"/>
          <w:numId w:val="15"/>
        </w:numPr>
        <w:shd w:val="clear" w:color="auto" w:fill="FFFFFF"/>
        <w:spacing w:before="100" w:beforeAutospacing="1" w:after="100" w:afterAutospacing="1" w:line="240" w:lineRule="auto"/>
        <w:rPr>
          <w:rFonts w:ascii="Times New Roman" w:hAnsi="Times New Roman"/>
          <w:color w:val="000000"/>
          <w:spacing w:val="4"/>
          <w:sz w:val="24"/>
          <w:lang w:val="en"/>
        </w:rPr>
      </w:pPr>
      <w:r w:rsidRPr="00556873">
        <w:rPr>
          <w:rFonts w:ascii="Times New Roman" w:hAnsi="Times New Roman"/>
          <w:color w:val="000000"/>
          <w:spacing w:val="4"/>
          <w:sz w:val="24"/>
          <w:lang w:val="en"/>
        </w:rPr>
        <w:t>All completed order forms</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A copy of the invoice</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A copy of the purchase order</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A copy of the shipping document</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A copy of the packing slip</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The name, address, and DEA number of the company from which the Controlled Substance was purchased</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The name of the Controlled Substance purchased</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bCs/>
          <w:color w:val="000000"/>
          <w:spacing w:val="4"/>
          <w:sz w:val="24"/>
          <w:lang w:val="en"/>
        </w:rPr>
      </w:pPr>
      <w:r w:rsidRPr="00556873">
        <w:rPr>
          <w:rFonts w:ascii="Times New Roman" w:hAnsi="Times New Roman"/>
          <w:bCs/>
          <w:color w:val="000000"/>
          <w:spacing w:val="4"/>
          <w:sz w:val="24"/>
          <w:lang w:val="en"/>
        </w:rPr>
        <w:t>The size and strength of the Controlled Substance purchased</w:t>
      </w:r>
    </w:p>
    <w:p w:rsidR="00556873" w:rsidRPr="00556873" w:rsidRDefault="00556873" w:rsidP="00556873">
      <w:pPr>
        <w:pStyle w:val="ListParagraph"/>
        <w:numPr>
          <w:ilvl w:val="2"/>
          <w:numId w:val="15"/>
        </w:numPr>
        <w:shd w:val="clear" w:color="auto" w:fill="FFFFFF"/>
        <w:spacing w:after="0" w:line="240" w:lineRule="auto"/>
        <w:ind w:left="1140" w:hanging="270"/>
        <w:rPr>
          <w:rFonts w:ascii="Times New Roman" w:hAnsi="Times New Roman"/>
          <w:color w:val="000000"/>
          <w:spacing w:val="4"/>
          <w:sz w:val="24"/>
          <w:lang w:val="en"/>
        </w:rPr>
      </w:pPr>
      <w:r w:rsidRPr="00556873">
        <w:rPr>
          <w:rFonts w:ascii="Times New Roman" w:hAnsi="Times New Roman"/>
          <w:bCs/>
          <w:color w:val="000000"/>
          <w:spacing w:val="4"/>
          <w:sz w:val="24"/>
          <w:lang w:val="en"/>
        </w:rPr>
        <w:t>The amount purchased (which should match the amount received)</w:t>
      </w:r>
    </w:p>
    <w:p w:rsidR="00556873" w:rsidRPr="00556873" w:rsidRDefault="00556873" w:rsidP="00556873">
      <w:pPr>
        <w:pStyle w:val="ListParagraph"/>
        <w:shd w:val="clear" w:color="auto" w:fill="FFFFFF"/>
        <w:ind w:left="2160"/>
        <w:rPr>
          <w:rFonts w:ascii="Times New Roman" w:hAnsi="Times New Roman"/>
          <w:color w:val="000000"/>
          <w:spacing w:val="4"/>
          <w:sz w:val="24"/>
          <w:lang w:val="en"/>
        </w:rPr>
      </w:pPr>
    </w:p>
    <w:p w:rsidR="00556873" w:rsidRPr="00556873" w:rsidRDefault="00556873" w:rsidP="00556873">
      <w:pPr>
        <w:pStyle w:val="ListParagraph"/>
        <w:numPr>
          <w:ilvl w:val="0"/>
          <w:numId w:val="15"/>
        </w:numPr>
        <w:shd w:val="clear" w:color="auto" w:fill="FFFFFF"/>
        <w:spacing w:before="100" w:beforeAutospacing="1" w:after="100" w:afterAutospacing="1" w:line="240" w:lineRule="auto"/>
        <w:rPr>
          <w:rFonts w:ascii="Times New Roman" w:hAnsi="Times New Roman"/>
          <w:color w:val="000000"/>
          <w:spacing w:val="4"/>
          <w:sz w:val="24"/>
          <w:lang w:val="en"/>
        </w:rPr>
      </w:pPr>
      <w:r w:rsidRPr="00556873">
        <w:rPr>
          <w:rFonts w:ascii="Times New Roman" w:hAnsi="Times New Roman"/>
          <w:color w:val="000000"/>
          <w:spacing w:val="4"/>
          <w:sz w:val="24"/>
          <w:lang w:val="en"/>
        </w:rPr>
        <w:t>Inventory forms: (All inventory forms must be kept on file in the lab where the substance is used)</w:t>
      </w:r>
    </w:p>
    <w:p w:rsidR="00556873" w:rsidRPr="00556873" w:rsidRDefault="00556873" w:rsidP="00556873">
      <w:pPr>
        <w:pStyle w:val="ListParagraph"/>
        <w:numPr>
          <w:ilvl w:val="0"/>
          <w:numId w:val="15"/>
        </w:numPr>
        <w:spacing w:after="0" w:line="240" w:lineRule="auto"/>
        <w:ind w:right="547"/>
        <w:rPr>
          <w:rFonts w:ascii="Times New Roman" w:hAnsi="Times New Roman"/>
          <w:sz w:val="24"/>
        </w:rPr>
      </w:pPr>
      <w:r w:rsidRPr="00556873">
        <w:rPr>
          <w:rFonts w:ascii="Times New Roman" w:hAnsi="Times New Roman"/>
          <w:sz w:val="24"/>
          <w:u w:val="single"/>
        </w:rPr>
        <w:t xml:space="preserve">Controlled Substance Use Log </w:t>
      </w:r>
      <w:r w:rsidRPr="00556873">
        <w:rPr>
          <w:rFonts w:ascii="Times New Roman" w:hAnsi="Times New Roman"/>
          <w:sz w:val="24"/>
        </w:rPr>
        <w:t xml:space="preserve">- Every container of controlled substance in your possession must have an associated use log that is kept in the same locked and secure place. </w:t>
      </w:r>
    </w:p>
    <w:p w:rsidR="00556873" w:rsidRPr="00556873" w:rsidRDefault="00556873" w:rsidP="00556873">
      <w:pPr>
        <w:pStyle w:val="ListParagraph"/>
        <w:numPr>
          <w:ilvl w:val="0"/>
          <w:numId w:val="15"/>
        </w:numPr>
        <w:spacing w:after="0" w:line="240" w:lineRule="auto"/>
        <w:ind w:right="547"/>
        <w:rPr>
          <w:rFonts w:ascii="Times New Roman" w:hAnsi="Times New Roman"/>
          <w:sz w:val="24"/>
        </w:rPr>
      </w:pPr>
      <w:r w:rsidRPr="00556873">
        <w:rPr>
          <w:rFonts w:ascii="Times New Roman" w:hAnsi="Times New Roman"/>
          <w:sz w:val="24"/>
          <w:u w:val="single"/>
        </w:rPr>
        <w:t xml:space="preserve">Containers of concentrated or solid </w:t>
      </w:r>
      <w:r w:rsidRPr="00556873">
        <w:rPr>
          <w:rFonts w:ascii="Times New Roman" w:hAnsi="Times New Roman"/>
          <w:sz w:val="24"/>
        </w:rPr>
        <w:t xml:space="preserve">- A controlled substances must each have a log sheet to record the amount removed to make dilutions or solutions. </w:t>
      </w:r>
    </w:p>
    <w:p w:rsidR="00556873" w:rsidRPr="00556873" w:rsidRDefault="00556873" w:rsidP="00556873">
      <w:pPr>
        <w:pStyle w:val="ListParagraph"/>
        <w:numPr>
          <w:ilvl w:val="0"/>
          <w:numId w:val="15"/>
        </w:numPr>
        <w:spacing w:after="0" w:line="240" w:lineRule="auto"/>
        <w:ind w:right="547"/>
        <w:rPr>
          <w:rFonts w:ascii="Times New Roman" w:hAnsi="Times New Roman"/>
          <w:sz w:val="24"/>
        </w:rPr>
      </w:pPr>
      <w:r w:rsidRPr="00556873">
        <w:rPr>
          <w:rFonts w:ascii="Times New Roman" w:hAnsi="Times New Roman"/>
          <w:sz w:val="24"/>
          <w:u w:val="single"/>
        </w:rPr>
        <w:t>Dilutions and solutions</w:t>
      </w:r>
      <w:r w:rsidRPr="00556873">
        <w:rPr>
          <w:rFonts w:ascii="Times New Roman" w:hAnsi="Times New Roman"/>
          <w:sz w:val="24"/>
        </w:rPr>
        <w:t xml:space="preserve"> - if the staff has diluted a product for use, and uses it all during one application, there is no need to create an inventory for that dilution. If any diluted material remains for intended use at a later date, a new inventory page must be created, as it is considered a “new product” and dilution.</w:t>
      </w:r>
    </w:p>
    <w:p w:rsidR="00556873" w:rsidRPr="00556873" w:rsidRDefault="00556873" w:rsidP="00556873">
      <w:pPr>
        <w:pStyle w:val="ListParagraph"/>
        <w:numPr>
          <w:ilvl w:val="0"/>
          <w:numId w:val="15"/>
        </w:numPr>
        <w:spacing w:after="0" w:line="240" w:lineRule="auto"/>
        <w:ind w:right="547"/>
        <w:rPr>
          <w:rFonts w:ascii="Times New Roman" w:hAnsi="Times New Roman"/>
          <w:sz w:val="24"/>
        </w:rPr>
      </w:pPr>
      <w:r w:rsidRPr="00556873">
        <w:rPr>
          <w:rFonts w:ascii="Times New Roman" w:hAnsi="Times New Roman"/>
          <w:sz w:val="24"/>
          <w:u w:val="single"/>
        </w:rPr>
        <w:t>Transfer Log</w:t>
      </w:r>
      <w:r w:rsidRPr="00556873">
        <w:rPr>
          <w:rFonts w:ascii="Times New Roman" w:hAnsi="Times New Roman"/>
          <w:sz w:val="24"/>
        </w:rPr>
        <w:t xml:space="preserve"> - To track the transfer of controlled substances from one authorized person or location to another.  </w:t>
      </w:r>
    </w:p>
    <w:p w:rsidR="00556873" w:rsidRPr="00556873" w:rsidRDefault="00556873" w:rsidP="00556873">
      <w:pPr>
        <w:pStyle w:val="ListParagraph"/>
        <w:numPr>
          <w:ilvl w:val="0"/>
          <w:numId w:val="15"/>
        </w:numPr>
        <w:spacing w:after="0" w:line="240" w:lineRule="auto"/>
        <w:ind w:right="547"/>
        <w:rPr>
          <w:rFonts w:ascii="Times New Roman" w:hAnsi="Times New Roman"/>
          <w:sz w:val="24"/>
        </w:rPr>
      </w:pPr>
      <w:r w:rsidRPr="00556873">
        <w:rPr>
          <w:rFonts w:ascii="Times New Roman" w:hAnsi="Times New Roman"/>
          <w:sz w:val="24"/>
          <w:u w:val="single"/>
        </w:rPr>
        <w:t>Biennial Inventory Form</w:t>
      </w:r>
      <w:r w:rsidRPr="00556873">
        <w:rPr>
          <w:rFonts w:ascii="Times New Roman" w:hAnsi="Times New Roman"/>
          <w:sz w:val="24"/>
        </w:rPr>
        <w:t xml:space="preserve"> - A full inventory of all DEA controlled substances must be completed every two years. Any product that is in the lab at that time must be inventoried, even if it has not been in the lab’s possession for the full two years</w:t>
      </w:r>
      <w:r w:rsidRPr="00556873">
        <w:rPr>
          <w:rFonts w:ascii="Times New Roman" w:hAnsi="Times New Roman"/>
          <w:color w:val="444444"/>
          <w:sz w:val="24"/>
        </w:rPr>
        <w:t>.</w:t>
      </w:r>
    </w:p>
    <w:p w:rsidR="00556873" w:rsidRPr="00556873" w:rsidRDefault="00556873" w:rsidP="00556873">
      <w:pPr>
        <w:pStyle w:val="ListParagraph"/>
        <w:numPr>
          <w:ilvl w:val="2"/>
          <w:numId w:val="15"/>
        </w:numPr>
        <w:shd w:val="clear" w:color="auto" w:fill="FFFFFF"/>
        <w:spacing w:before="100" w:beforeAutospacing="1" w:after="100" w:afterAutospacing="1" w:line="240" w:lineRule="auto"/>
        <w:ind w:left="1140" w:hanging="270"/>
        <w:rPr>
          <w:rFonts w:ascii="Times New Roman" w:hAnsi="Times New Roman"/>
          <w:color w:val="000000"/>
          <w:spacing w:val="4"/>
          <w:sz w:val="24"/>
          <w:lang w:val="en"/>
        </w:rPr>
      </w:pPr>
      <w:r w:rsidRPr="00556873">
        <w:rPr>
          <w:rFonts w:ascii="Times New Roman" w:hAnsi="Times New Roman"/>
          <w:color w:val="000000"/>
          <w:spacing w:val="4"/>
          <w:sz w:val="24"/>
          <w:lang w:val="en"/>
        </w:rPr>
        <w:t>Entries are made when the substance is dispensed and are hand-written in ink.</w:t>
      </w:r>
    </w:p>
    <w:p w:rsidR="00556873" w:rsidRPr="00556873" w:rsidRDefault="00556873" w:rsidP="00556873">
      <w:pPr>
        <w:pStyle w:val="ListParagraph"/>
        <w:numPr>
          <w:ilvl w:val="2"/>
          <w:numId w:val="15"/>
        </w:numPr>
        <w:shd w:val="clear" w:color="auto" w:fill="FFFFFF"/>
        <w:spacing w:before="100" w:beforeAutospacing="1" w:after="100" w:afterAutospacing="1" w:line="240" w:lineRule="auto"/>
        <w:ind w:left="1140" w:hanging="270"/>
        <w:rPr>
          <w:rFonts w:ascii="Times New Roman" w:hAnsi="Times New Roman"/>
          <w:spacing w:val="4"/>
          <w:sz w:val="24"/>
          <w:lang w:val="en"/>
        </w:rPr>
      </w:pPr>
      <w:r w:rsidRPr="00556873">
        <w:rPr>
          <w:rFonts w:ascii="Times New Roman" w:hAnsi="Times New Roman"/>
          <w:sz w:val="24"/>
        </w:rPr>
        <w:t>Waste bottles: If the lab makes a dilution of the product and does not use all of it in their work, the remaining portion is now considered waste. A new inventory form for the dilution must be initiated and kept for any amounts of that same dilution. Lab staff cannot add different dilutions to this waste bottle.</w:t>
      </w:r>
    </w:p>
    <w:p w:rsidR="00556873" w:rsidRPr="00556873" w:rsidRDefault="00556873" w:rsidP="00556873">
      <w:pPr>
        <w:pStyle w:val="ListParagraph"/>
        <w:numPr>
          <w:ilvl w:val="0"/>
          <w:numId w:val="15"/>
        </w:numPr>
        <w:shd w:val="clear" w:color="auto" w:fill="FFFFFF"/>
        <w:spacing w:before="100" w:beforeAutospacing="1" w:after="100" w:afterAutospacing="1" w:line="240" w:lineRule="auto"/>
        <w:rPr>
          <w:rFonts w:ascii="Times New Roman" w:hAnsi="Times New Roman"/>
          <w:color w:val="000000"/>
          <w:spacing w:val="4"/>
          <w:sz w:val="24"/>
          <w:lang w:val="en"/>
        </w:rPr>
      </w:pPr>
      <w:r w:rsidRPr="00556873">
        <w:rPr>
          <w:rFonts w:ascii="Times New Roman" w:hAnsi="Times New Roman"/>
          <w:color w:val="000000"/>
          <w:spacing w:val="4"/>
          <w:sz w:val="24"/>
          <w:lang w:val="en"/>
        </w:rPr>
        <w:t>Record of destruction of a lab’s DEA materials will be recorded by the DEA program manager on the DEA Form 41. This form will be sent to the DEA regional manager and a copy sent to the individual PI.</w:t>
      </w:r>
    </w:p>
    <w:p w:rsidR="00556873" w:rsidRPr="00556873" w:rsidRDefault="00556873" w:rsidP="00556873">
      <w:pPr>
        <w:pStyle w:val="ListParagraph"/>
        <w:numPr>
          <w:ilvl w:val="0"/>
          <w:numId w:val="15"/>
        </w:numPr>
        <w:shd w:val="clear" w:color="auto" w:fill="FFFFFF"/>
        <w:spacing w:after="0" w:line="240" w:lineRule="auto"/>
        <w:rPr>
          <w:rFonts w:ascii="Times New Roman" w:hAnsi="Times New Roman"/>
          <w:color w:val="000000"/>
          <w:spacing w:val="4"/>
          <w:sz w:val="24"/>
          <w:lang w:val="en"/>
        </w:rPr>
      </w:pPr>
      <w:r w:rsidRPr="00556873">
        <w:rPr>
          <w:rFonts w:ascii="Times New Roman" w:hAnsi="Times New Roman"/>
          <w:color w:val="000000"/>
          <w:spacing w:val="4"/>
          <w:sz w:val="24"/>
          <w:lang w:val="en"/>
        </w:rPr>
        <w:t xml:space="preserve">A Lab Specific </w:t>
      </w:r>
      <w:hyperlink r:id="rId10" w:tgtFrame="_blank" w:history="1">
        <w:r w:rsidRPr="00556873">
          <w:rPr>
            <w:rFonts w:ascii="Times New Roman" w:hAnsi="Times New Roman"/>
            <w:b/>
            <w:bCs/>
            <w:color w:val="333333"/>
            <w:spacing w:val="4"/>
            <w:sz w:val="24"/>
            <w:u w:val="single"/>
            <w:lang w:val="en"/>
          </w:rPr>
          <w:t>SOP for DEA Controlled Substance Use</w:t>
        </w:r>
      </w:hyperlink>
      <w:r w:rsidRPr="00556873">
        <w:rPr>
          <w:rFonts w:ascii="Times New Roman" w:hAnsi="Times New Roman"/>
          <w:color w:val="000000"/>
          <w:spacing w:val="4"/>
          <w:sz w:val="24"/>
          <w:lang w:val="en"/>
        </w:rPr>
        <w:t xml:space="preserve"> and record of training completions must be on file. </w:t>
      </w:r>
    </w:p>
    <w:p w:rsidR="00556873" w:rsidRPr="00556873" w:rsidRDefault="00556873" w:rsidP="00556873">
      <w:pPr>
        <w:pStyle w:val="NormalWeb"/>
        <w:numPr>
          <w:ilvl w:val="0"/>
          <w:numId w:val="15"/>
        </w:numPr>
        <w:spacing w:before="0" w:beforeAutospacing="0" w:after="0" w:afterAutospacing="0"/>
        <w:rPr>
          <w:szCs w:val="22"/>
        </w:rPr>
      </w:pPr>
      <w:r w:rsidRPr="00556873">
        <w:rPr>
          <w:b/>
          <w:szCs w:val="22"/>
        </w:rPr>
        <w:t xml:space="preserve">Authorized User </w:t>
      </w:r>
    </w:p>
    <w:p w:rsidR="00556873" w:rsidRPr="00556873" w:rsidRDefault="00556873" w:rsidP="00556873">
      <w:pPr>
        <w:pStyle w:val="NormalWeb"/>
        <w:numPr>
          <w:ilvl w:val="0"/>
          <w:numId w:val="15"/>
        </w:numPr>
        <w:spacing w:before="0" w:beforeAutospacing="0" w:after="0" w:afterAutospacing="0"/>
        <w:rPr>
          <w:szCs w:val="22"/>
        </w:rPr>
      </w:pPr>
      <w:r w:rsidRPr="00556873">
        <w:rPr>
          <w:szCs w:val="22"/>
          <w:u w:val="single"/>
        </w:rPr>
        <w:t>Screening Form</w:t>
      </w:r>
      <w:r w:rsidRPr="00556873">
        <w:rPr>
          <w:szCs w:val="22"/>
        </w:rPr>
        <w:t>, if a Registrant wishes to grant a lab member access to the CS storage area as an Authorized User Screening must be completed.</w:t>
      </w:r>
    </w:p>
    <w:p w:rsidR="00556873" w:rsidRPr="00556873" w:rsidRDefault="00556873" w:rsidP="00556873">
      <w:pPr>
        <w:pStyle w:val="NormalWeb"/>
        <w:numPr>
          <w:ilvl w:val="0"/>
          <w:numId w:val="15"/>
        </w:numPr>
        <w:spacing w:before="0" w:beforeAutospacing="0" w:after="0" w:afterAutospacing="0"/>
        <w:rPr>
          <w:szCs w:val="22"/>
        </w:rPr>
      </w:pPr>
      <w:r w:rsidRPr="00556873">
        <w:rPr>
          <w:szCs w:val="22"/>
          <w:u w:val="single"/>
        </w:rPr>
        <w:t>Authorized User Form</w:t>
      </w:r>
      <w:r w:rsidRPr="00556873">
        <w:rPr>
          <w:szCs w:val="22"/>
        </w:rPr>
        <w:t>, if a Registrant wishes to grant a lab member access to the CS storage area as an Authorized User Form must be completed.</w:t>
      </w:r>
    </w:p>
    <w:p w:rsidR="00154C6B" w:rsidRDefault="00154C6B" w:rsidP="00076545">
      <w:pPr>
        <w:pStyle w:val="NoSpacing"/>
        <w:rPr>
          <w:rFonts w:ascii="Times New Roman" w:hAnsi="Times New Roman"/>
          <w:b/>
          <w:sz w:val="24"/>
          <w:szCs w:val="24"/>
        </w:rPr>
      </w:pPr>
    </w:p>
    <w:p w:rsidR="00556873" w:rsidRPr="00BB13A3" w:rsidRDefault="00556873" w:rsidP="00076545">
      <w:pPr>
        <w:pStyle w:val="NoSpacing"/>
        <w:rPr>
          <w:rFonts w:ascii="Times New Roman" w:hAnsi="Times New Roman"/>
          <w:b/>
          <w:sz w:val="24"/>
          <w:szCs w:val="24"/>
        </w:rPr>
      </w:pPr>
    </w:p>
    <w:p w:rsidR="00076545" w:rsidRPr="00BB13A3" w:rsidRDefault="00F079B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Transporting</w:t>
      </w:r>
      <w:r w:rsidR="00556873">
        <w:rPr>
          <w:rFonts w:ascii="Times New Roman" w:hAnsi="Times New Roman"/>
          <w:b/>
          <w:sz w:val="24"/>
          <w:szCs w:val="24"/>
          <w:u w:val="single"/>
        </w:rPr>
        <w:t xml:space="preserve"> DEA Controlled Substances </w:t>
      </w:r>
      <w:r w:rsidR="00556873">
        <w:rPr>
          <w:rFonts w:ascii="Times New Roman" w:hAnsi="Times New Roman"/>
          <w:color w:val="FF0000"/>
          <w:sz w:val="24"/>
          <w:szCs w:val="24"/>
        </w:rPr>
        <w:t>(fill this out if you will be transporting the substances outside of the laboratory where the substances is stored)</w:t>
      </w:r>
    </w:p>
    <w:p w:rsidR="00556873" w:rsidRDefault="00C13EAA" w:rsidP="00556873">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 xml:space="preserve">[Include information </w:t>
      </w:r>
      <w:r w:rsidRPr="00F079B7">
        <w:rPr>
          <w:rFonts w:ascii="Times New Roman" w:hAnsi="Times New Roman" w:cs="Times New Roman"/>
          <w:sz w:val="24"/>
          <w:szCs w:val="24"/>
          <w:highlight w:val="yellow"/>
        </w:rPr>
        <w:t>for</w:t>
      </w:r>
      <w:r w:rsidR="00556873" w:rsidRPr="00F079B7">
        <w:rPr>
          <w:rFonts w:ascii="Times New Roman" w:hAnsi="Times New Roman" w:cs="Times New Roman"/>
          <w:sz w:val="24"/>
          <w:szCs w:val="24"/>
          <w:highlight w:val="yellow"/>
        </w:rPr>
        <w:t xml:space="preserve"> handling and documentation of the transportation</w:t>
      </w:r>
      <w:r w:rsidR="00F079B7" w:rsidRPr="00F079B7">
        <w:rPr>
          <w:rFonts w:ascii="Times New Roman" w:hAnsi="Times New Roman" w:cs="Times New Roman"/>
          <w:sz w:val="24"/>
          <w:szCs w:val="24"/>
          <w:highlight w:val="yellow"/>
        </w:rPr>
        <w:t xml:space="preserve"> of the DEA Controlled </w:t>
      </w:r>
      <w:r w:rsidR="0048058A" w:rsidRPr="00F079B7">
        <w:rPr>
          <w:rFonts w:ascii="Times New Roman" w:hAnsi="Times New Roman" w:cs="Times New Roman"/>
          <w:sz w:val="24"/>
          <w:szCs w:val="24"/>
          <w:highlight w:val="yellow"/>
        </w:rPr>
        <w:t>Substance</w:t>
      </w:r>
      <w:bookmarkStart w:id="0" w:name="_GoBack"/>
      <w:bookmarkEnd w:id="0"/>
      <w:r w:rsidR="00F079B7" w:rsidRPr="00F079B7">
        <w:rPr>
          <w:rFonts w:ascii="Times New Roman" w:hAnsi="Times New Roman" w:cs="Times New Roman"/>
          <w:sz w:val="24"/>
          <w:szCs w:val="24"/>
          <w:highlight w:val="yellow"/>
        </w:rPr>
        <w:t>.]</w:t>
      </w:r>
    </w:p>
    <w:p w:rsidR="00F079B7" w:rsidRDefault="00F079B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Spills</w:t>
      </w:r>
    </w:p>
    <w:p w:rsidR="00F079B7" w:rsidRDefault="00F079B7" w:rsidP="00F079B7">
      <w:pPr>
        <w:pStyle w:val="ListParagraph"/>
        <w:spacing w:line="240" w:lineRule="auto"/>
        <w:rPr>
          <w:rFonts w:ascii="Times New Roman" w:hAnsi="Times New Roman"/>
          <w:b/>
          <w:sz w:val="24"/>
          <w:szCs w:val="24"/>
          <w:u w:val="single"/>
        </w:rPr>
      </w:pPr>
    </w:p>
    <w:p w:rsidR="00C87A61" w:rsidRPr="00C87A61" w:rsidRDefault="005B0515" w:rsidP="00C87A61">
      <w:pPr>
        <w:pStyle w:val="ListParagraph"/>
        <w:spacing w:line="240" w:lineRule="auto"/>
        <w:rPr>
          <w:rFonts w:ascii="Times New Roman" w:hAnsi="Times New Roman"/>
          <w:sz w:val="24"/>
          <w:szCs w:val="24"/>
        </w:rPr>
      </w:pPr>
      <w:r>
        <w:rPr>
          <w:rFonts w:ascii="Times New Roman" w:hAnsi="Times New Roman"/>
          <w:sz w:val="24"/>
          <w:szCs w:val="24"/>
        </w:rPr>
        <w:t>The breakage, spillage, or other witnessed controlled substance losses do not require the immediate not</w:t>
      </w:r>
      <w:r w:rsidR="00C87A61">
        <w:rPr>
          <w:rFonts w:ascii="Times New Roman" w:hAnsi="Times New Roman"/>
          <w:sz w:val="24"/>
          <w:szCs w:val="24"/>
        </w:rPr>
        <w:t xml:space="preserve">ification of DEA if the breakage or spillage is not recoverable. The registrant must document the circumstances of the breakage in the inventory records and the </w:t>
      </w:r>
      <w:r>
        <w:rPr>
          <w:rFonts w:ascii="Times New Roman" w:hAnsi="Times New Roman"/>
          <w:sz w:val="24"/>
          <w:szCs w:val="24"/>
        </w:rPr>
        <w:t xml:space="preserve">Controlled Substance Use Log. </w:t>
      </w:r>
      <w:r w:rsidR="00C87A61">
        <w:rPr>
          <w:rFonts w:ascii="Times New Roman" w:hAnsi="Times New Roman"/>
          <w:sz w:val="24"/>
          <w:szCs w:val="24"/>
        </w:rPr>
        <w:t xml:space="preserve">Two individuals who witnessed the breakage must sign the inventory records indicating what they witnessed. </w:t>
      </w:r>
    </w:p>
    <w:p w:rsidR="00F079B7" w:rsidRDefault="00F079B7" w:rsidP="00F079B7">
      <w:pPr>
        <w:pStyle w:val="ListParagraph"/>
        <w:spacing w:line="240" w:lineRule="auto"/>
        <w:rPr>
          <w:rFonts w:ascii="Times New Roman" w:hAnsi="Times New Roman"/>
          <w:b/>
          <w:sz w:val="24"/>
          <w:szCs w:val="24"/>
          <w:u w:val="single"/>
        </w:rPr>
      </w:pPr>
    </w:p>
    <w:p w:rsidR="00F6133C" w:rsidRPr="00F6133C" w:rsidRDefault="00076545" w:rsidP="00F6133C">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Disposal Procedure</w:t>
      </w:r>
    </w:p>
    <w:p w:rsidR="00F6133C" w:rsidRPr="00F6133C" w:rsidRDefault="00F6133C" w:rsidP="00F6133C">
      <w:pPr>
        <w:spacing w:after="160" w:line="259" w:lineRule="auto"/>
        <w:ind w:left="150"/>
        <w:rPr>
          <w:rFonts w:ascii="Times New Roman" w:eastAsia="Calibri" w:hAnsi="Times New Roman" w:cs="Times New Roman"/>
          <w:sz w:val="24"/>
        </w:rPr>
      </w:pPr>
      <w:r w:rsidRPr="00F6133C">
        <w:rPr>
          <w:rFonts w:ascii="Times New Roman" w:eastAsia="Calibri" w:hAnsi="Times New Roman" w:cs="Times New Roman"/>
          <w:sz w:val="24"/>
        </w:rPr>
        <w:t xml:space="preserve">DEA Controlled Substances will be properly disposed of prior to DEA registration expires and prior to the lab closing (if applicable). </w:t>
      </w:r>
    </w:p>
    <w:p w:rsidR="00F6133C" w:rsidRPr="00F6133C" w:rsidRDefault="00F6133C" w:rsidP="00F6133C">
      <w:pPr>
        <w:autoSpaceDE w:val="0"/>
        <w:autoSpaceDN w:val="0"/>
        <w:adjustRightInd w:val="0"/>
        <w:ind w:left="150"/>
        <w:rPr>
          <w:rFonts w:ascii="Times New Roman" w:eastAsia="Calibri" w:hAnsi="Times New Roman" w:cs="Times New Roman"/>
          <w:bCs/>
          <w:color w:val="FF0000"/>
          <w:sz w:val="24"/>
        </w:rPr>
      </w:pPr>
      <w:r>
        <w:rPr>
          <w:rFonts w:ascii="Times New Roman" w:eastAsia="Calibri" w:hAnsi="Times New Roman" w:cs="Times New Roman"/>
          <w:bCs/>
          <w:sz w:val="24"/>
        </w:rPr>
        <w:t>Controlled substances will be disposed of one of two ways:</w:t>
      </w:r>
    </w:p>
    <w:p w:rsidR="00F6133C" w:rsidRPr="00F6133C" w:rsidRDefault="00F6133C" w:rsidP="00F6133C">
      <w:pPr>
        <w:pStyle w:val="ListParagraph"/>
        <w:numPr>
          <w:ilvl w:val="0"/>
          <w:numId w:val="17"/>
        </w:numPr>
        <w:autoSpaceDE w:val="0"/>
        <w:autoSpaceDN w:val="0"/>
        <w:adjustRightInd w:val="0"/>
        <w:ind w:left="990" w:hanging="270"/>
        <w:rPr>
          <w:rFonts w:ascii="Times New Roman" w:eastAsia="Calibri" w:hAnsi="Times New Roman"/>
          <w:bCs/>
          <w:i/>
          <w:sz w:val="24"/>
        </w:rPr>
      </w:pPr>
      <w:r w:rsidRPr="00F6133C">
        <w:rPr>
          <w:rFonts w:ascii="Times New Roman" w:eastAsia="Calibri" w:hAnsi="Times New Roman"/>
          <w:bCs/>
          <w:i/>
          <w:sz w:val="24"/>
        </w:rPr>
        <w:t>Contact the Supplier:</w:t>
      </w:r>
    </w:p>
    <w:p w:rsidR="00F6133C" w:rsidRPr="00F6133C" w:rsidRDefault="00F6133C" w:rsidP="00F6133C">
      <w:pPr>
        <w:autoSpaceDE w:val="0"/>
        <w:autoSpaceDN w:val="0"/>
        <w:adjustRightInd w:val="0"/>
        <w:ind w:left="1080"/>
        <w:rPr>
          <w:rFonts w:ascii="Times New Roman" w:eastAsia="Calibri" w:hAnsi="Times New Roman" w:cs="Times New Roman"/>
          <w:sz w:val="24"/>
        </w:rPr>
      </w:pPr>
      <w:r w:rsidRPr="00F6133C">
        <w:rPr>
          <w:rFonts w:ascii="Times New Roman" w:eastAsia="Calibri" w:hAnsi="Times New Roman" w:cs="Times New Roman"/>
          <w:sz w:val="24"/>
        </w:rPr>
        <w:t>Some suppliers will take back pharmaceuticals for credit. If possible, this is the best means of Controlled Substance disposal.</w:t>
      </w:r>
    </w:p>
    <w:p w:rsidR="00F6133C" w:rsidRPr="00D9503E" w:rsidRDefault="00D9503E" w:rsidP="00D9503E">
      <w:pPr>
        <w:pStyle w:val="ListParagraph"/>
        <w:numPr>
          <w:ilvl w:val="0"/>
          <w:numId w:val="17"/>
        </w:numPr>
        <w:autoSpaceDE w:val="0"/>
        <w:autoSpaceDN w:val="0"/>
        <w:adjustRightInd w:val="0"/>
        <w:ind w:left="990" w:hanging="270"/>
        <w:rPr>
          <w:rFonts w:ascii="Times New Roman" w:eastAsia="Calibri" w:hAnsi="Times New Roman"/>
          <w:bCs/>
          <w:i/>
          <w:sz w:val="24"/>
        </w:rPr>
      </w:pPr>
      <w:r>
        <w:rPr>
          <w:rFonts w:ascii="Times New Roman" w:eastAsia="Calibri" w:hAnsi="Times New Roman"/>
          <w:bCs/>
          <w:i/>
          <w:sz w:val="24"/>
        </w:rPr>
        <w:t xml:space="preserve">Reverse Distribution: </w:t>
      </w:r>
    </w:p>
    <w:p w:rsidR="00F6133C" w:rsidRPr="00D9503E" w:rsidRDefault="00F6133C" w:rsidP="00D9503E">
      <w:pPr>
        <w:numPr>
          <w:ilvl w:val="0"/>
          <w:numId w:val="16"/>
        </w:numPr>
        <w:spacing w:after="0" w:line="240" w:lineRule="auto"/>
        <w:ind w:left="1350" w:right="293" w:hanging="270"/>
        <w:textAlignment w:val="baseline"/>
        <w:rPr>
          <w:rFonts w:ascii="Times New Roman" w:hAnsi="Times New Roman" w:cs="Times New Roman"/>
          <w:sz w:val="24"/>
        </w:rPr>
      </w:pPr>
      <w:r w:rsidRPr="00D9503E">
        <w:rPr>
          <w:rFonts w:ascii="Times New Roman" w:hAnsi="Times New Roman" w:cs="Times New Roman"/>
          <w:sz w:val="24"/>
        </w:rPr>
        <w:t xml:space="preserve">Contact a </w:t>
      </w:r>
      <w:hyperlink r:id="rId11" w:history="1">
        <w:r w:rsidRPr="00D9503E">
          <w:rPr>
            <w:rStyle w:val="Hyperlink"/>
            <w:rFonts w:ascii="Times New Roman" w:hAnsi="Times New Roman" w:cs="Times New Roman"/>
            <w:sz w:val="24"/>
          </w:rPr>
          <w:t>Reverse Distribution Vendor</w:t>
        </w:r>
      </w:hyperlink>
      <w:r w:rsidRPr="00D9503E">
        <w:rPr>
          <w:rFonts w:ascii="Times New Roman" w:hAnsi="Times New Roman" w:cs="Times New Roman"/>
          <w:sz w:val="24"/>
        </w:rPr>
        <w:t xml:space="preserve"> to register. </w:t>
      </w:r>
    </w:p>
    <w:p w:rsidR="00F6133C" w:rsidRPr="00D9503E" w:rsidRDefault="00F6133C" w:rsidP="00D9503E">
      <w:pPr>
        <w:numPr>
          <w:ilvl w:val="0"/>
          <w:numId w:val="16"/>
        </w:numPr>
        <w:spacing w:after="98" w:line="240" w:lineRule="auto"/>
        <w:ind w:left="1350" w:right="293" w:hanging="270"/>
        <w:textAlignment w:val="baseline"/>
        <w:rPr>
          <w:rFonts w:ascii="Times New Roman" w:hAnsi="Times New Roman" w:cs="Times New Roman"/>
          <w:sz w:val="24"/>
        </w:rPr>
      </w:pPr>
      <w:r w:rsidRPr="00D9503E">
        <w:rPr>
          <w:rFonts w:ascii="Times New Roman" w:hAnsi="Times New Roman" w:cs="Times New Roman"/>
          <w:sz w:val="24"/>
        </w:rPr>
        <w:t>Complete the vendor’s application for approval to ship material – either in paper form and sent by mail / fax or in electronic form (both require current DEA registration).</w:t>
      </w:r>
    </w:p>
    <w:p w:rsidR="00F6133C" w:rsidRPr="00D9503E" w:rsidRDefault="00F6133C" w:rsidP="00D9503E">
      <w:pPr>
        <w:numPr>
          <w:ilvl w:val="0"/>
          <w:numId w:val="16"/>
        </w:numPr>
        <w:spacing w:after="98" w:line="240" w:lineRule="auto"/>
        <w:ind w:left="1350" w:right="293" w:hanging="270"/>
        <w:textAlignment w:val="baseline"/>
        <w:rPr>
          <w:rFonts w:ascii="Times New Roman" w:hAnsi="Times New Roman" w:cs="Times New Roman"/>
          <w:sz w:val="24"/>
        </w:rPr>
      </w:pPr>
      <w:r w:rsidRPr="00D9503E">
        <w:rPr>
          <w:rFonts w:ascii="Times New Roman" w:hAnsi="Times New Roman" w:cs="Times New Roman"/>
          <w:sz w:val="24"/>
        </w:rPr>
        <w:t>Additional Forms – Completing DEA D-222 form if necessary (for Schedule I &amp; II controlled substances)</w:t>
      </w:r>
    </w:p>
    <w:p w:rsidR="00F6133C" w:rsidRPr="00D9503E" w:rsidRDefault="00F6133C" w:rsidP="00D9503E">
      <w:pPr>
        <w:numPr>
          <w:ilvl w:val="0"/>
          <w:numId w:val="16"/>
        </w:numPr>
        <w:spacing w:after="98" w:line="240" w:lineRule="auto"/>
        <w:ind w:left="1350" w:right="293" w:hanging="270"/>
        <w:textAlignment w:val="baseline"/>
        <w:rPr>
          <w:rFonts w:ascii="Times New Roman" w:hAnsi="Times New Roman" w:cs="Times New Roman"/>
          <w:sz w:val="24"/>
        </w:rPr>
      </w:pPr>
      <w:r w:rsidRPr="00D9503E">
        <w:rPr>
          <w:rFonts w:ascii="Times New Roman" w:hAnsi="Times New Roman" w:cs="Times New Roman"/>
          <w:sz w:val="24"/>
        </w:rPr>
        <w:t>Payment – payment or payment information is required with application.</w:t>
      </w:r>
    </w:p>
    <w:p w:rsidR="00F6133C" w:rsidRPr="00D9503E" w:rsidRDefault="00F6133C" w:rsidP="00D9503E">
      <w:pPr>
        <w:numPr>
          <w:ilvl w:val="0"/>
          <w:numId w:val="16"/>
        </w:numPr>
        <w:spacing w:after="98" w:line="240" w:lineRule="auto"/>
        <w:ind w:left="1350" w:right="293" w:hanging="270"/>
        <w:textAlignment w:val="baseline"/>
        <w:rPr>
          <w:rFonts w:ascii="Times New Roman" w:hAnsi="Times New Roman" w:cs="Times New Roman"/>
          <w:sz w:val="24"/>
        </w:rPr>
      </w:pPr>
      <w:r w:rsidRPr="00D9503E">
        <w:rPr>
          <w:rFonts w:ascii="Times New Roman" w:hAnsi="Times New Roman" w:cs="Times New Roman"/>
          <w:sz w:val="24"/>
        </w:rPr>
        <w:t>Shipping – once authorized, items are packaged and shipped by you via an approved shipper (Fed-Ex or UPS usually)</w:t>
      </w:r>
      <w:r w:rsidR="00D9503E" w:rsidRPr="00D9503E">
        <w:rPr>
          <w:rFonts w:ascii="Times New Roman" w:hAnsi="Times New Roman" w:cs="Times New Roman"/>
          <w:sz w:val="24"/>
        </w:rPr>
        <w:t xml:space="preserve">. Contact EH&amp;S via the “Intent to Ship” form to ensure shipping is done properly. Allow 3-5 business days before item is to be shipped. </w:t>
      </w:r>
    </w:p>
    <w:p w:rsidR="00076545" w:rsidRPr="00D9503E" w:rsidRDefault="00F6133C" w:rsidP="00D9503E">
      <w:pPr>
        <w:pStyle w:val="ListParagraph"/>
        <w:numPr>
          <w:ilvl w:val="0"/>
          <w:numId w:val="16"/>
        </w:numPr>
        <w:shd w:val="clear" w:color="auto" w:fill="FFFFFF"/>
        <w:spacing w:before="100" w:beforeAutospacing="1" w:after="100" w:afterAutospacing="1" w:line="273" w:lineRule="atLeast"/>
        <w:ind w:left="1350" w:hanging="270"/>
        <w:textAlignment w:val="baseline"/>
        <w:rPr>
          <w:rFonts w:ascii="Times New Roman" w:hAnsi="Times New Roman"/>
          <w:b/>
          <w:sz w:val="24"/>
          <w:szCs w:val="24"/>
        </w:rPr>
      </w:pPr>
      <w:r w:rsidRPr="00D9503E">
        <w:rPr>
          <w:rFonts w:ascii="Times New Roman" w:hAnsi="Times New Roman"/>
          <w:sz w:val="24"/>
        </w:rPr>
        <w:t>Always request documentation of return/disposal/destruction.</w:t>
      </w:r>
    </w:p>
    <w:p w:rsidR="00D9503E" w:rsidRPr="00D9503E" w:rsidRDefault="00D9503E" w:rsidP="00D9503E">
      <w:pPr>
        <w:pStyle w:val="ListParagraph"/>
        <w:shd w:val="clear" w:color="auto" w:fill="FFFFFF"/>
        <w:spacing w:before="100" w:beforeAutospacing="1" w:after="100" w:afterAutospacing="1" w:line="273" w:lineRule="atLeast"/>
        <w:ind w:left="1350"/>
        <w:textAlignment w:val="baseline"/>
        <w:rPr>
          <w:rFonts w:ascii="Times New Roman" w:hAnsi="Times New Roman"/>
          <w:b/>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48058A"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DEA List of Controlled Substances &amp; Exemption List: </w:t>
      </w:r>
      <w:hyperlink r:id="rId12" w:history="1">
        <w:r w:rsidRPr="00A931A3">
          <w:rPr>
            <w:rStyle w:val="Hyperlink"/>
            <w:rFonts w:ascii="Times New Roman" w:hAnsi="Times New Roman" w:cs="Times New Roman"/>
            <w:sz w:val="24"/>
            <w:szCs w:val="24"/>
          </w:rPr>
          <w:t>https://www.deadiversion.usdoj.gov/schedules/</w:t>
        </w:r>
      </w:hyperlink>
      <w:r>
        <w:rPr>
          <w:rFonts w:ascii="Times New Roman" w:hAnsi="Times New Roman" w:cs="Times New Roman"/>
          <w:sz w:val="24"/>
          <w:szCs w:val="24"/>
        </w:rPr>
        <w:t xml:space="preserve"> </w:t>
      </w:r>
    </w:p>
    <w:p w:rsidR="0048058A" w:rsidRDefault="0048058A" w:rsidP="005B5E4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DEA Forms and Applications: </w:t>
      </w:r>
      <w:hyperlink r:id="rId13" w:history="1">
        <w:r w:rsidRPr="00A931A3">
          <w:rPr>
            <w:rStyle w:val="Hyperlink"/>
            <w:rFonts w:ascii="Times New Roman" w:hAnsi="Times New Roman" w:cs="Times New Roman"/>
            <w:sz w:val="24"/>
            <w:szCs w:val="24"/>
          </w:rPr>
          <w:t>https://www.deadiversion.usdoj.gov/online_forms_apps.html</w:t>
        </w:r>
      </w:hyperlink>
    </w:p>
    <w:p w:rsidR="00076545" w:rsidRPr="00E02B56" w:rsidRDefault="005B5E45" w:rsidP="00E02B56">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D9503E" w:rsidRDefault="00D9503E" w:rsidP="00D9503E">
      <w:pPr>
        <w:spacing w:after="0" w:line="240" w:lineRule="auto"/>
        <w:rPr>
          <w:rFonts w:ascii="Times New Roman" w:hAnsi="Times New Roman"/>
          <w:sz w:val="24"/>
          <w:szCs w:val="24"/>
        </w:rPr>
      </w:pPr>
      <w:r w:rsidRPr="00D9503E">
        <w:rPr>
          <w:rFonts w:ascii="Times New Roman" w:hAnsi="Times New Roman"/>
          <w:sz w:val="24"/>
          <w:szCs w:val="24"/>
        </w:rPr>
        <w:t xml:space="preserve">Training to new authorized users will be done by the Registered Agent, which will include this completed SOP. </w:t>
      </w:r>
    </w:p>
    <w:p w:rsidR="00D9503E" w:rsidRPr="00D9503E" w:rsidRDefault="00D9503E" w:rsidP="00D9503E">
      <w:pPr>
        <w:spacing w:after="0" w:line="240" w:lineRule="auto"/>
        <w:rPr>
          <w:rFonts w:ascii="Times New Roman" w:hAnsi="Times New Roman"/>
          <w:sz w:val="24"/>
          <w:szCs w:val="24"/>
        </w:rPr>
      </w:pPr>
    </w:p>
    <w:p w:rsidR="00076545" w:rsidRDefault="00D9503E" w:rsidP="00D9503E">
      <w:pPr>
        <w:spacing w:after="0" w:line="240" w:lineRule="auto"/>
        <w:rPr>
          <w:rFonts w:ascii="Times New Roman" w:hAnsi="Times New Roman"/>
          <w:sz w:val="24"/>
          <w:szCs w:val="24"/>
        </w:rPr>
      </w:pPr>
      <w:r w:rsidRPr="00D9503E">
        <w:rPr>
          <w:rFonts w:ascii="Times New Roman" w:hAnsi="Times New Roman"/>
          <w:sz w:val="24"/>
          <w:szCs w:val="24"/>
        </w:rPr>
        <w:t>All authorized users will read and be allowed to ask questions about this SOP with the registered agent. Once training is complete, authorized users must sign and date the training log that is kept with this SOP (see last page of this document)</w:t>
      </w:r>
    </w:p>
    <w:p w:rsidR="00D9503E" w:rsidRPr="00D9503E" w:rsidRDefault="00D9503E" w:rsidP="00D9503E">
      <w:pPr>
        <w:spacing w:after="0" w:line="240" w:lineRule="auto"/>
        <w:rPr>
          <w:rFonts w:ascii="Times New Roman" w:hAnsi="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D9503E">
        <w:rPr>
          <w:rFonts w:ascii="Times New Roman" w:hAnsi="Times New Roman" w:cs="Times New Roman"/>
          <w:i/>
          <w:sz w:val="24"/>
          <w:szCs w:val="24"/>
        </w:rPr>
        <w:t>DEA Controlled Substance Use</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48058A" w:rsidRDefault="0048058A"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48058A">
        <w:trPr>
          <w:trHeight w:val="576"/>
        </w:trPr>
        <w:tc>
          <w:tcPr>
            <w:tcW w:w="3874"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521"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55"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48058A">
        <w:trPr>
          <w:trHeight w:val="576"/>
        </w:trPr>
        <w:tc>
          <w:tcPr>
            <w:tcW w:w="3874" w:type="dxa"/>
            <w:shd w:val="clear" w:color="auto" w:fill="auto"/>
          </w:tcPr>
          <w:p w:rsidR="00076545" w:rsidRDefault="00076545" w:rsidP="002A2F66">
            <w:pPr>
              <w:spacing w:after="0" w:line="240" w:lineRule="auto"/>
              <w:rPr>
                <w:rFonts w:ascii="Times New Roman" w:hAnsi="Times New Roman" w:cs="Times New Roman"/>
                <w:b/>
                <w:sz w:val="24"/>
                <w:szCs w:val="24"/>
                <w:highlight w:val="yellow"/>
              </w:rPr>
            </w:pPr>
          </w:p>
          <w:p w:rsidR="0048058A" w:rsidRPr="00BB13A3" w:rsidRDefault="0048058A"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48058A" w:rsidRPr="00BB13A3" w:rsidTr="0048058A">
        <w:trPr>
          <w:trHeight w:val="576"/>
        </w:trPr>
        <w:tc>
          <w:tcPr>
            <w:tcW w:w="3874" w:type="dxa"/>
            <w:shd w:val="clear" w:color="auto" w:fill="auto"/>
          </w:tcPr>
          <w:p w:rsidR="0048058A" w:rsidRDefault="0048058A"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48058A" w:rsidRPr="00BB13A3" w:rsidRDefault="0048058A" w:rsidP="002A2F66">
            <w:pPr>
              <w:spacing w:after="0" w:line="240" w:lineRule="auto"/>
              <w:rPr>
                <w:rFonts w:ascii="Times New Roman" w:hAnsi="Times New Roman" w:cs="Times New Roman"/>
                <w:b/>
                <w:sz w:val="24"/>
                <w:szCs w:val="24"/>
              </w:rPr>
            </w:pPr>
          </w:p>
        </w:tc>
        <w:tc>
          <w:tcPr>
            <w:tcW w:w="1955" w:type="dxa"/>
            <w:shd w:val="clear" w:color="auto" w:fill="auto"/>
          </w:tcPr>
          <w:p w:rsidR="0048058A" w:rsidRPr="00BB13A3" w:rsidRDefault="0048058A" w:rsidP="002A2F66">
            <w:pPr>
              <w:spacing w:after="0" w:line="240" w:lineRule="auto"/>
              <w:rPr>
                <w:rFonts w:ascii="Times New Roman" w:hAnsi="Times New Roman" w:cs="Times New Roman"/>
                <w:b/>
                <w:sz w:val="24"/>
                <w:szCs w:val="24"/>
                <w:highlight w:val="yellow"/>
              </w:rPr>
            </w:pPr>
          </w:p>
        </w:tc>
      </w:tr>
      <w:tr w:rsidR="0048058A" w:rsidRPr="00BB13A3" w:rsidTr="0048058A">
        <w:trPr>
          <w:trHeight w:val="576"/>
        </w:trPr>
        <w:tc>
          <w:tcPr>
            <w:tcW w:w="3874" w:type="dxa"/>
            <w:shd w:val="clear" w:color="auto" w:fill="auto"/>
          </w:tcPr>
          <w:p w:rsidR="0048058A" w:rsidRDefault="0048058A"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48058A" w:rsidRPr="00BB13A3" w:rsidRDefault="0048058A" w:rsidP="002A2F66">
            <w:pPr>
              <w:spacing w:after="0" w:line="240" w:lineRule="auto"/>
              <w:rPr>
                <w:rFonts w:ascii="Times New Roman" w:hAnsi="Times New Roman" w:cs="Times New Roman"/>
                <w:b/>
                <w:sz w:val="24"/>
                <w:szCs w:val="24"/>
              </w:rPr>
            </w:pPr>
          </w:p>
        </w:tc>
        <w:tc>
          <w:tcPr>
            <w:tcW w:w="1955" w:type="dxa"/>
            <w:shd w:val="clear" w:color="auto" w:fill="auto"/>
          </w:tcPr>
          <w:p w:rsidR="0048058A" w:rsidRPr="00BB13A3" w:rsidRDefault="0048058A" w:rsidP="002A2F66">
            <w:pPr>
              <w:spacing w:after="0" w:line="240" w:lineRule="auto"/>
              <w:rPr>
                <w:rFonts w:ascii="Times New Roman" w:hAnsi="Times New Roman" w:cs="Times New Roman"/>
                <w:b/>
                <w:sz w:val="24"/>
                <w:szCs w:val="24"/>
                <w:highlight w:val="yellow"/>
              </w:rPr>
            </w:pPr>
          </w:p>
        </w:tc>
      </w:tr>
      <w:tr w:rsidR="0048058A" w:rsidRPr="00BB13A3" w:rsidTr="0048058A">
        <w:trPr>
          <w:trHeight w:val="576"/>
        </w:trPr>
        <w:tc>
          <w:tcPr>
            <w:tcW w:w="3874" w:type="dxa"/>
            <w:shd w:val="clear" w:color="auto" w:fill="auto"/>
          </w:tcPr>
          <w:p w:rsidR="0048058A" w:rsidRDefault="0048058A"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rsidR="0048058A" w:rsidRPr="00BB13A3" w:rsidRDefault="0048058A" w:rsidP="002A2F66">
            <w:pPr>
              <w:spacing w:after="0" w:line="240" w:lineRule="auto"/>
              <w:rPr>
                <w:rFonts w:ascii="Times New Roman" w:hAnsi="Times New Roman" w:cs="Times New Roman"/>
                <w:b/>
                <w:sz w:val="24"/>
                <w:szCs w:val="24"/>
              </w:rPr>
            </w:pPr>
          </w:p>
        </w:tc>
        <w:tc>
          <w:tcPr>
            <w:tcW w:w="1955" w:type="dxa"/>
            <w:shd w:val="clear" w:color="auto" w:fill="auto"/>
          </w:tcPr>
          <w:p w:rsidR="0048058A" w:rsidRPr="00BB13A3" w:rsidRDefault="0048058A" w:rsidP="002A2F66">
            <w:pPr>
              <w:spacing w:after="0" w:line="240" w:lineRule="auto"/>
              <w:rPr>
                <w:rFonts w:ascii="Times New Roman" w:hAnsi="Times New Roman" w:cs="Times New Roman"/>
                <w:b/>
                <w:sz w:val="24"/>
                <w:szCs w:val="24"/>
                <w:highlight w:val="yellow"/>
              </w:rPr>
            </w:pPr>
          </w:p>
        </w:tc>
      </w:tr>
    </w:tbl>
    <w:p w:rsidR="00C212CD" w:rsidRPr="00BB13A3" w:rsidRDefault="00C212CD" w:rsidP="001B31B0">
      <w:pPr>
        <w:rPr>
          <w:rFonts w:ascii="Times New Roman" w:hAnsi="Times New Roman" w:cs="Times New Roman"/>
          <w:sz w:val="24"/>
          <w:szCs w:val="24"/>
        </w:rPr>
      </w:pPr>
    </w:p>
    <w:sectPr w:rsidR="00C212CD" w:rsidRPr="00BB13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4D" w:rsidRDefault="00E75B4D" w:rsidP="00076545">
      <w:pPr>
        <w:spacing w:after="0" w:line="240" w:lineRule="auto"/>
      </w:pPr>
      <w:r>
        <w:separator/>
      </w:r>
    </w:p>
  </w:endnote>
  <w:endnote w:type="continuationSeparator" w:id="0">
    <w:p w:rsidR="00E75B4D" w:rsidRDefault="00E75B4D"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E75B4D"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48058A" w:rsidRPr="0048058A">
            <w:rPr>
              <w:noProof/>
              <w:color w:val="FFFFFF" w:themeColor="background1"/>
            </w:rPr>
            <w:t>2</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4D" w:rsidRDefault="00E75B4D" w:rsidP="00076545">
      <w:pPr>
        <w:spacing w:after="0" w:line="240" w:lineRule="auto"/>
      </w:pPr>
      <w:r>
        <w:separator/>
      </w:r>
    </w:p>
  </w:footnote>
  <w:footnote w:type="continuationSeparator" w:id="0">
    <w:p w:rsidR="00E75B4D" w:rsidRDefault="00E75B4D"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1CC"/>
    <w:multiLevelType w:val="multilevel"/>
    <w:tmpl w:val="885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AC8"/>
    <w:multiLevelType w:val="hybridMultilevel"/>
    <w:tmpl w:val="1AC8C490"/>
    <w:lvl w:ilvl="0" w:tplc="2CEA59E4">
      <w:start w:val="1"/>
      <w:numFmt w:val="lowerLetter"/>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23825DB"/>
    <w:multiLevelType w:val="hybridMultilevel"/>
    <w:tmpl w:val="F9A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536303E"/>
    <w:multiLevelType w:val="hybridMultilevel"/>
    <w:tmpl w:val="BF8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12"/>
  </w:num>
  <w:num w:numId="5">
    <w:abstractNumId w:val="13"/>
  </w:num>
  <w:num w:numId="6">
    <w:abstractNumId w:val="9"/>
  </w:num>
  <w:num w:numId="7">
    <w:abstractNumId w:val="6"/>
  </w:num>
  <w:num w:numId="8">
    <w:abstractNumId w:val="1"/>
  </w:num>
  <w:num w:numId="9">
    <w:abstractNumId w:val="2"/>
  </w:num>
  <w:num w:numId="10">
    <w:abstractNumId w:val="14"/>
  </w:num>
  <w:num w:numId="11">
    <w:abstractNumId w:val="4"/>
  </w:num>
  <w:num w:numId="12">
    <w:abstractNumId w:val="15"/>
  </w:num>
  <w:num w:numId="13">
    <w:abstractNumId w:val="11"/>
  </w:num>
  <w:num w:numId="14">
    <w:abstractNumId w:val="0"/>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27958"/>
    <w:rsid w:val="00030619"/>
    <w:rsid w:val="00076545"/>
    <w:rsid w:val="000D5A37"/>
    <w:rsid w:val="00144C40"/>
    <w:rsid w:val="0014510F"/>
    <w:rsid w:val="00154C6B"/>
    <w:rsid w:val="00183251"/>
    <w:rsid w:val="00193212"/>
    <w:rsid w:val="001B31B0"/>
    <w:rsid w:val="001D5B93"/>
    <w:rsid w:val="001F28D5"/>
    <w:rsid w:val="00281F9C"/>
    <w:rsid w:val="002C72A0"/>
    <w:rsid w:val="002E0166"/>
    <w:rsid w:val="00304322"/>
    <w:rsid w:val="00372EE6"/>
    <w:rsid w:val="003E59F9"/>
    <w:rsid w:val="0048058A"/>
    <w:rsid w:val="004E35D3"/>
    <w:rsid w:val="00521F8B"/>
    <w:rsid w:val="005336DD"/>
    <w:rsid w:val="00551685"/>
    <w:rsid w:val="00556873"/>
    <w:rsid w:val="005B0515"/>
    <w:rsid w:val="005B5E45"/>
    <w:rsid w:val="005E2E7B"/>
    <w:rsid w:val="005E708F"/>
    <w:rsid w:val="006018F8"/>
    <w:rsid w:val="007118FD"/>
    <w:rsid w:val="007E6F34"/>
    <w:rsid w:val="00881380"/>
    <w:rsid w:val="0094569C"/>
    <w:rsid w:val="0095041F"/>
    <w:rsid w:val="009548B1"/>
    <w:rsid w:val="00985636"/>
    <w:rsid w:val="00997B4D"/>
    <w:rsid w:val="00A32EF0"/>
    <w:rsid w:val="00A83349"/>
    <w:rsid w:val="00A92914"/>
    <w:rsid w:val="00AB4C78"/>
    <w:rsid w:val="00AD65D4"/>
    <w:rsid w:val="00AE7E05"/>
    <w:rsid w:val="00B16B66"/>
    <w:rsid w:val="00B47C01"/>
    <w:rsid w:val="00BB13A3"/>
    <w:rsid w:val="00BF1B52"/>
    <w:rsid w:val="00C05260"/>
    <w:rsid w:val="00C115FC"/>
    <w:rsid w:val="00C12A1D"/>
    <w:rsid w:val="00C13EAA"/>
    <w:rsid w:val="00C20EC7"/>
    <w:rsid w:val="00C212CD"/>
    <w:rsid w:val="00C4016F"/>
    <w:rsid w:val="00C459B6"/>
    <w:rsid w:val="00C73630"/>
    <w:rsid w:val="00C87A61"/>
    <w:rsid w:val="00D9503E"/>
    <w:rsid w:val="00E0172C"/>
    <w:rsid w:val="00E02B56"/>
    <w:rsid w:val="00E53D12"/>
    <w:rsid w:val="00E65E81"/>
    <w:rsid w:val="00E75B4D"/>
    <w:rsid w:val="00E84FE2"/>
    <w:rsid w:val="00EA56A9"/>
    <w:rsid w:val="00EF5D06"/>
    <w:rsid w:val="00F079B7"/>
    <w:rsid w:val="00F23751"/>
    <w:rsid w:val="00F6133C"/>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5D43"/>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paragraph" w:styleId="Heading3">
    <w:name w:val="heading 3"/>
    <w:basedOn w:val="Normal"/>
    <w:link w:val="Heading3Char"/>
    <w:uiPriority w:val="9"/>
    <w:qFormat/>
    <w:rsid w:val="00F61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Heading3Char">
    <w:name w:val="Heading 3 Char"/>
    <w:basedOn w:val="DefaultParagraphFont"/>
    <w:link w:val="Heading3"/>
    <w:uiPriority w:val="9"/>
    <w:rsid w:val="00F6133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21cfr_reports/theft/index.html" TargetMode="External"/><Relationship Id="rId13" Type="http://schemas.openxmlformats.org/officeDocument/2006/relationships/hyperlink" Target="https://www.deadiversion.usdoj.gov/online_forms_app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egonstate.edu/ehs/sds" TargetMode="External"/><Relationship Id="rId12" Type="http://schemas.openxmlformats.org/officeDocument/2006/relationships/hyperlink" Target="https://www.deadiversion.usdoj.gov/schedul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tboard.az.gov/sites/default/files/documents/files/DEA%20Registered%20Reverse%20Distributors%20-%20201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hs.mit.edu/site/sites/default/files/documents/BSP-DEA-DEA_SOP_template.docx" TargetMode="External"/><Relationship Id="rId4" Type="http://schemas.openxmlformats.org/officeDocument/2006/relationships/webSettings" Target="webSettings.xml"/><Relationship Id="rId9" Type="http://schemas.openxmlformats.org/officeDocument/2006/relationships/hyperlink" Target="http://www.deadiversion.usdoj.gov/fed_regs/rules/2003/fr0708.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B72C58"/>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Paul, Jenette Kaye</cp:lastModifiedBy>
  <cp:revision>2</cp:revision>
  <dcterms:created xsi:type="dcterms:W3CDTF">2018-08-16T22:32:00Z</dcterms:created>
  <dcterms:modified xsi:type="dcterms:W3CDTF">2018-08-16T22:32:00Z</dcterms:modified>
</cp:coreProperties>
</file>