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780094" w:rsidRDefault="00780094" w:rsidP="00132A8A">
      <w:pPr>
        <w:pStyle w:val="Default"/>
        <w:jc w:val="center"/>
        <w:rPr>
          <w:rFonts w:ascii="Times New Roman" w:hAnsi="Times New Roman" w:cs="Times New Roman"/>
          <w:b/>
          <w:bCs/>
          <w:color w:val="auto"/>
          <w:sz w:val="32"/>
          <w:szCs w:val="32"/>
        </w:rPr>
      </w:pPr>
      <w:r w:rsidRPr="00780094">
        <w:rPr>
          <w:rFonts w:ascii="Times New Roman" w:hAnsi="Times New Roman" w:cs="Times New Roman"/>
          <w:b/>
          <w:bCs/>
          <w:color w:val="auto"/>
          <w:sz w:val="32"/>
          <w:szCs w:val="32"/>
        </w:rPr>
        <w:t xml:space="preserve">Quenching </w:t>
      </w:r>
      <w:r w:rsidR="00731666">
        <w:rPr>
          <w:rFonts w:ascii="Times New Roman" w:hAnsi="Times New Roman" w:cs="Times New Roman"/>
          <w:b/>
          <w:bCs/>
          <w:color w:val="auto"/>
          <w:sz w:val="32"/>
          <w:szCs w:val="32"/>
        </w:rPr>
        <w:t xml:space="preserve">and Disposal </w:t>
      </w:r>
      <w:r w:rsidRPr="00780094">
        <w:rPr>
          <w:rFonts w:ascii="Times New Roman" w:hAnsi="Times New Roman" w:cs="Times New Roman"/>
          <w:b/>
          <w:bCs/>
          <w:color w:val="auto"/>
          <w:sz w:val="32"/>
          <w:szCs w:val="32"/>
        </w:rPr>
        <w:t xml:space="preserve">of </w:t>
      </w:r>
      <w:r w:rsidR="00731666">
        <w:rPr>
          <w:rFonts w:ascii="Times New Roman" w:hAnsi="Times New Roman" w:cs="Times New Roman"/>
          <w:b/>
          <w:bCs/>
          <w:color w:val="auto"/>
          <w:sz w:val="32"/>
          <w:szCs w:val="32"/>
        </w:rPr>
        <w:t xml:space="preserve">Liquid </w:t>
      </w:r>
      <w:r w:rsidRPr="00780094">
        <w:rPr>
          <w:rFonts w:ascii="Times New Roman" w:hAnsi="Times New Roman" w:cs="Times New Roman"/>
          <w:b/>
          <w:bCs/>
          <w:color w:val="auto"/>
          <w:sz w:val="32"/>
          <w:szCs w:val="32"/>
        </w:rPr>
        <w:t>Pyrophoric Materials</w:t>
      </w:r>
    </w:p>
    <w:p w:rsidR="00780094" w:rsidRDefault="00780094" w:rsidP="00CF196C">
      <w:pPr>
        <w:pStyle w:val="Default"/>
        <w:rPr>
          <w:rFonts w:ascii="Times New Roman" w:hAnsi="Times New Roman" w:cs="Times New Roman"/>
          <w:b/>
          <w:bCs/>
          <w:color w:val="auto"/>
          <w:sz w:val="32"/>
          <w:szCs w:val="32"/>
        </w:rPr>
      </w:pPr>
    </w:p>
    <w:p w:rsidR="0002145A" w:rsidRDefault="00780094" w:rsidP="00CF196C">
      <w:pPr>
        <w:pStyle w:val="Default"/>
        <w:rPr>
          <w:rFonts w:ascii="Times New Roman" w:hAnsi="Times New Roman" w:cs="Times New Roman"/>
          <w:b/>
          <w:bCs/>
          <w:color w:val="auto"/>
          <w:sz w:val="28"/>
          <w:szCs w:val="28"/>
        </w:rPr>
      </w:pPr>
      <w:r w:rsidRPr="00780094">
        <w:rPr>
          <w:rFonts w:ascii="Times New Roman" w:hAnsi="Times New Roman" w:cs="Times New Roman"/>
          <w:b/>
          <w:bCs/>
          <w:color w:val="auto"/>
          <w:sz w:val="28"/>
          <w:szCs w:val="28"/>
        </w:rPr>
        <w:t>Examples: tert-</w:t>
      </w:r>
      <w:proofErr w:type="spellStart"/>
      <w:r w:rsidRPr="00780094">
        <w:rPr>
          <w:rFonts w:ascii="Times New Roman" w:hAnsi="Times New Roman" w:cs="Times New Roman"/>
          <w:b/>
          <w:bCs/>
          <w:color w:val="auto"/>
          <w:sz w:val="28"/>
          <w:szCs w:val="28"/>
        </w:rPr>
        <w:t>ButylLithium</w:t>
      </w:r>
      <w:proofErr w:type="spellEnd"/>
      <w:r w:rsidRPr="00780094">
        <w:rPr>
          <w:rFonts w:ascii="Times New Roman" w:hAnsi="Times New Roman" w:cs="Times New Roman"/>
          <w:b/>
          <w:bCs/>
          <w:color w:val="auto"/>
          <w:sz w:val="28"/>
          <w:szCs w:val="28"/>
        </w:rPr>
        <w:t>, sec-</w:t>
      </w:r>
      <w:proofErr w:type="spellStart"/>
      <w:r w:rsidRPr="00780094">
        <w:rPr>
          <w:rFonts w:ascii="Times New Roman" w:hAnsi="Times New Roman" w:cs="Times New Roman"/>
          <w:b/>
          <w:bCs/>
          <w:color w:val="auto"/>
          <w:sz w:val="28"/>
          <w:szCs w:val="28"/>
        </w:rPr>
        <w:t>ButylLithium</w:t>
      </w:r>
      <w:proofErr w:type="spellEnd"/>
      <w:r w:rsidRPr="00780094">
        <w:rPr>
          <w:rFonts w:ascii="Times New Roman" w:hAnsi="Times New Roman" w:cs="Times New Roman"/>
          <w:b/>
          <w:bCs/>
          <w:color w:val="auto"/>
          <w:sz w:val="28"/>
          <w:szCs w:val="28"/>
        </w:rPr>
        <w:t xml:space="preserve">, n-Butyllithium, </w:t>
      </w:r>
      <w:proofErr w:type="spellStart"/>
      <w:r w:rsidRPr="00780094">
        <w:rPr>
          <w:rFonts w:ascii="Times New Roman" w:hAnsi="Times New Roman" w:cs="Times New Roman"/>
          <w:b/>
          <w:bCs/>
          <w:color w:val="auto"/>
          <w:sz w:val="28"/>
          <w:szCs w:val="28"/>
        </w:rPr>
        <w:t>DiethylZinc</w:t>
      </w:r>
      <w:proofErr w:type="spellEnd"/>
      <w:r w:rsidRPr="00780094">
        <w:rPr>
          <w:rFonts w:ascii="Times New Roman" w:hAnsi="Times New Roman" w:cs="Times New Roman"/>
          <w:b/>
          <w:bCs/>
          <w:color w:val="auto"/>
          <w:sz w:val="28"/>
          <w:szCs w:val="28"/>
        </w:rPr>
        <w:t xml:space="preserve">, </w:t>
      </w:r>
      <w:proofErr w:type="spellStart"/>
      <w:r w:rsidRPr="00780094">
        <w:rPr>
          <w:rFonts w:ascii="Times New Roman" w:hAnsi="Times New Roman" w:cs="Times New Roman"/>
          <w:b/>
          <w:bCs/>
          <w:color w:val="auto"/>
          <w:sz w:val="28"/>
          <w:szCs w:val="28"/>
        </w:rPr>
        <w:t>Organoaluminum</w:t>
      </w:r>
      <w:proofErr w:type="spellEnd"/>
      <w:r w:rsidRPr="00780094">
        <w:rPr>
          <w:rFonts w:ascii="Times New Roman" w:hAnsi="Times New Roman" w:cs="Times New Roman"/>
          <w:b/>
          <w:bCs/>
          <w:color w:val="auto"/>
          <w:sz w:val="28"/>
          <w:szCs w:val="28"/>
        </w:rPr>
        <w:t xml:space="preserve"> compounds (as Et3Al, Et2AlCl, EtAlCl2, Me3Al), Raney Nickel catalyst</w:t>
      </w:r>
      <w:r>
        <w:rPr>
          <w:rFonts w:ascii="Times New Roman" w:hAnsi="Times New Roman" w:cs="Times New Roman"/>
          <w:b/>
          <w:bCs/>
          <w:color w:val="auto"/>
          <w:sz w:val="28"/>
          <w:szCs w:val="28"/>
        </w:rPr>
        <w:t>.</w:t>
      </w:r>
    </w:p>
    <w:p w:rsidR="00780094" w:rsidRDefault="00780094" w:rsidP="00CF196C">
      <w:pPr>
        <w:pStyle w:val="Default"/>
        <w:rPr>
          <w:rFonts w:ascii="Times New Roman" w:hAnsi="Times New Roman" w:cs="Times New Roman"/>
          <w:b/>
          <w:bCs/>
          <w:color w:val="auto"/>
          <w:sz w:val="28"/>
          <w:szCs w:val="28"/>
        </w:rPr>
      </w:pPr>
    </w:p>
    <w:p w:rsidR="00780094" w:rsidRDefault="00780094" w:rsidP="00CF196C">
      <w:pPr>
        <w:pStyle w:val="Default"/>
      </w:pPr>
      <w:r w:rsidRPr="00780094">
        <w:t>Water-Reactive Materials, such as lithium, sodium, cesium, lithium aluminum hydride, potassium hydride, are designated by the following H codes: H260 and H 261. Please refer to the hazardous operation SOP “Quenching of Water Reactive Materials” for the chemicals.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56"/>
      </w:tblGrid>
      <w:tr w:rsidR="0002145A">
        <w:trPr>
          <w:trHeight w:val="343"/>
        </w:trPr>
        <w:tc>
          <w:tcPr>
            <w:tcW w:w="9256" w:type="dxa"/>
          </w:tcPr>
          <w:p w:rsidR="0002145A" w:rsidRDefault="0002145A">
            <w:pPr>
              <w:pStyle w:val="Default"/>
              <w:rPr>
                <w:sz w:val="20"/>
                <w:szCs w:val="20"/>
              </w:rPr>
            </w:pPr>
          </w:p>
        </w:tc>
      </w:tr>
    </w:tbl>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w:t>
      </w:r>
      <w:r w:rsidR="0002145A">
        <w:rPr>
          <w:rFonts w:ascii="Times New Roman" w:hAnsi="Times New Roman" w:cs="Times New Roman"/>
          <w:i/>
          <w:color w:val="D03C20"/>
          <w:sz w:val="24"/>
          <w:szCs w:val="24"/>
        </w:rPr>
        <w:t>-</w:t>
      </w:r>
      <w:r w:rsidRPr="00BB13A3">
        <w:rPr>
          <w:rFonts w:ascii="Times New Roman" w:hAnsi="Times New Roman" w:cs="Times New Roman"/>
          <w:i/>
          <w:color w:val="D03C20"/>
          <w:sz w:val="24"/>
          <w:szCs w:val="24"/>
        </w:rPr>
        <w:t xml:space="preserve">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sdt>
        <w:sdtPr>
          <w:rPr>
            <w:rFonts w:ascii="Times New Roman" w:hAnsi="Times New Roman" w:cs="Times New Roman"/>
            <w:sz w:val="24"/>
            <w:szCs w:val="24"/>
          </w:rPr>
          <w:id w:val="1526217492"/>
          <w14:checkbox>
            <w14:checked w14:val="0"/>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Pr="00BB13A3">
        <w:rPr>
          <w:rFonts w:ascii="Times New Roman" w:hAnsi="Times New Roman" w:cs="Times New Roman"/>
          <w:sz w:val="24"/>
          <w:szCs w:val="24"/>
        </w:rPr>
        <w:t xml:space="preserve">Process            </w:t>
      </w:r>
      <w:sdt>
        <w:sdtPr>
          <w:rPr>
            <w:rFonts w:ascii="Times New Roman" w:hAnsi="Times New Roman" w:cs="Times New Roman"/>
            <w:sz w:val="24"/>
            <w:szCs w:val="24"/>
          </w:rPr>
          <w:id w:val="478344242"/>
          <w14:checkbox>
            <w14:checked w14:val="1"/>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Pr="00BB13A3">
        <w:rPr>
          <w:rFonts w:ascii="Times New Roman" w:hAnsi="Times New Roman" w:cs="Times New Roman"/>
          <w:sz w:val="24"/>
          <w:szCs w:val="24"/>
        </w:rPr>
        <w:t xml:space="preserve">Hazardous Chemical         </w:t>
      </w:r>
      <w:sdt>
        <w:sdtPr>
          <w:rPr>
            <w:rFonts w:ascii="Times New Roman" w:hAnsi="Times New Roman" w:cs="Times New Roman"/>
            <w:sz w:val="24"/>
            <w:szCs w:val="24"/>
          </w:rPr>
          <w:id w:val="-1986615630"/>
          <w14:checkbox>
            <w14:checked w14:val="0"/>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780094" w:rsidRPr="00780094" w:rsidRDefault="00780094" w:rsidP="00780094">
      <w:pPr>
        <w:spacing w:line="240" w:lineRule="auto"/>
        <w:rPr>
          <w:rFonts w:ascii="Times New Roman" w:hAnsi="Times New Roman" w:cs="Times New Roman"/>
          <w:sz w:val="24"/>
          <w:szCs w:val="24"/>
        </w:rPr>
      </w:pPr>
      <w:r w:rsidRPr="00780094">
        <w:rPr>
          <w:rFonts w:ascii="Times New Roman" w:hAnsi="Times New Roman" w:cs="Times New Roman"/>
          <w:sz w:val="24"/>
          <w:szCs w:val="24"/>
        </w:rPr>
        <w:t xml:space="preserve">This SOP covers the precautions and safe handling procedures for the Quenching of </w:t>
      </w:r>
      <w:r w:rsidR="00731666">
        <w:rPr>
          <w:rFonts w:ascii="Times New Roman" w:hAnsi="Times New Roman" w:cs="Times New Roman"/>
          <w:sz w:val="24"/>
          <w:szCs w:val="24"/>
        </w:rPr>
        <w:t xml:space="preserve">Liquid </w:t>
      </w:r>
      <w:r w:rsidRPr="00780094">
        <w:rPr>
          <w:rFonts w:ascii="Times New Roman" w:hAnsi="Times New Roman" w:cs="Times New Roman"/>
          <w:sz w:val="24"/>
          <w:szCs w:val="24"/>
        </w:rPr>
        <w:t>Pyrophoric Materials.</w:t>
      </w:r>
    </w:p>
    <w:p w:rsidR="00780094" w:rsidRPr="00780094" w:rsidRDefault="00780094" w:rsidP="00780094">
      <w:pPr>
        <w:spacing w:line="240" w:lineRule="auto"/>
        <w:rPr>
          <w:rFonts w:ascii="Times New Roman" w:hAnsi="Times New Roman" w:cs="Times New Roman"/>
          <w:sz w:val="24"/>
          <w:szCs w:val="24"/>
        </w:rPr>
      </w:pPr>
      <w:r w:rsidRPr="00780094">
        <w:rPr>
          <w:rFonts w:ascii="Times New Roman" w:hAnsi="Times New Roman" w:cs="Times New Roman"/>
          <w:sz w:val="24"/>
          <w:szCs w:val="24"/>
        </w:rPr>
        <w:t>.</w:t>
      </w:r>
    </w:p>
    <w:p w:rsidR="005625FA" w:rsidRPr="005625FA" w:rsidRDefault="00780094" w:rsidP="00780094">
      <w:pPr>
        <w:spacing w:line="240" w:lineRule="auto"/>
        <w:rPr>
          <w:rFonts w:ascii="Times New Roman" w:hAnsi="Times New Roman" w:cs="Times New Roman"/>
          <w:sz w:val="24"/>
          <w:szCs w:val="24"/>
        </w:rPr>
      </w:pPr>
      <w:r w:rsidRPr="00780094">
        <w:rPr>
          <w:rFonts w:ascii="Times New Roman" w:hAnsi="Times New Roman" w:cs="Times New Roman"/>
          <w:sz w:val="24"/>
          <w:szCs w:val="24"/>
        </w:rPr>
        <w:lastRenderedPageBreak/>
        <w:t>If you have questions concerning the applicability of any recommendation or requirement listed in this procedure, contact the Principal Investigator/Laboratory Supervisor of your laboratory</w:t>
      </w:r>
      <w:r w:rsidR="00132A8A">
        <w:rPr>
          <w:rFonts w:ascii="Times New Roman" w:hAnsi="Times New Roman" w:cs="Times New Roman"/>
          <w:sz w:val="24"/>
          <w:szCs w:val="24"/>
        </w:rPr>
        <w:t xml:space="preserve"> </w:t>
      </w:r>
      <w:r w:rsidR="0002145A">
        <w:rPr>
          <w:rFonts w:ascii="Times New Roman" w:hAnsi="Times New Roman" w:cs="Times New Roman"/>
          <w:sz w:val="24"/>
          <w:szCs w:val="24"/>
        </w:rPr>
        <w:t>or EH&amp;S.</w:t>
      </w:r>
    </w:p>
    <w:p w:rsidR="00076545" w:rsidRPr="0002145A" w:rsidRDefault="00076545" w:rsidP="0002145A">
      <w:pPr>
        <w:pStyle w:val="ListParagraph"/>
        <w:numPr>
          <w:ilvl w:val="0"/>
          <w:numId w:val="13"/>
        </w:numPr>
        <w:spacing w:line="240" w:lineRule="auto"/>
        <w:rPr>
          <w:rFonts w:ascii="Times New Roman" w:hAnsi="Times New Roman"/>
          <w:b/>
          <w:color w:val="D03C20"/>
          <w:sz w:val="24"/>
          <w:szCs w:val="24"/>
        </w:rPr>
      </w:pPr>
      <w:r w:rsidRPr="0002145A">
        <w:rPr>
          <w:rFonts w:ascii="Times New Roman" w:hAnsi="Times New Roman"/>
          <w:b/>
          <w:sz w:val="24"/>
          <w:szCs w:val="24"/>
          <w:u w:val="single"/>
        </w:rPr>
        <w:t>Physical &amp; Chemical Properties/Definition of Chemical Group</w:t>
      </w:r>
      <w:r w:rsidRPr="0002145A">
        <w:rPr>
          <w:rFonts w:ascii="Times New Roman" w:hAnsi="Times New Roman"/>
          <w:b/>
          <w:sz w:val="24"/>
          <w:szCs w:val="24"/>
        </w:rPr>
        <w:t xml:space="preserve"> </w:t>
      </w:r>
    </w:p>
    <w:p w:rsid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For physical and chemical properties on pyrophoric materials, please refer to specific Safety Data Sheets (SDS) of chemicals in use (See Section 11 – SDS Location).</w:t>
      </w:r>
    </w:p>
    <w:p w:rsidR="0002145A" w:rsidRPr="00780094" w:rsidRDefault="0002145A" w:rsidP="00780094">
      <w:pPr>
        <w:pStyle w:val="ListParagraph"/>
        <w:numPr>
          <w:ilvl w:val="0"/>
          <w:numId w:val="13"/>
        </w:numPr>
        <w:spacing w:line="240" w:lineRule="auto"/>
        <w:rPr>
          <w:rFonts w:ascii="Times New Roman" w:hAnsi="Times New Roman"/>
          <w:b/>
          <w:sz w:val="24"/>
          <w:szCs w:val="24"/>
          <w:u w:val="single"/>
        </w:rPr>
      </w:pPr>
      <w:r w:rsidRPr="00780094">
        <w:rPr>
          <w:rFonts w:ascii="Times New Roman" w:hAnsi="Times New Roman"/>
          <w:b/>
          <w:sz w:val="24"/>
          <w:szCs w:val="24"/>
          <w:u w:val="single"/>
        </w:rPr>
        <w:t>Potential Hazards</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When exposed to moisture or air, these reagents may ignite spontaneously. When quenching pyrophoric materials, the individual hazards of the pyrophorics and the solvent, as well as the hazard of the mixture, should all be considered, and procedures for safe quenching should reflect this consideration.</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As defined by the Globally Harmonized System of Classification and Labeling of Chemicals (GHS), pyrophorics and self-heating substances are designated by one or more of the following H codes:</w:t>
      </w:r>
    </w:p>
    <w:p w:rsidR="00780094" w:rsidRPr="00132A8A" w:rsidRDefault="00780094" w:rsidP="00780094">
      <w:pPr>
        <w:spacing w:line="240" w:lineRule="auto"/>
        <w:rPr>
          <w:rFonts w:ascii="Times New Roman" w:hAnsi="Times New Roman"/>
          <w:sz w:val="24"/>
          <w:szCs w:val="24"/>
          <w:u w:val="single"/>
        </w:rPr>
      </w:pPr>
      <w:r w:rsidRPr="00132A8A">
        <w:rPr>
          <w:rFonts w:ascii="Times New Roman" w:hAnsi="Times New Roman"/>
          <w:sz w:val="24"/>
          <w:szCs w:val="24"/>
          <w:u w:val="single"/>
        </w:rPr>
        <w:t>Pyrophorics</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H250 Catches fire spontaneously if expose to air</w:t>
      </w:r>
    </w:p>
    <w:p w:rsidR="00780094" w:rsidRPr="00132A8A" w:rsidRDefault="00780094" w:rsidP="00780094">
      <w:pPr>
        <w:spacing w:line="240" w:lineRule="auto"/>
        <w:rPr>
          <w:rFonts w:ascii="Times New Roman" w:hAnsi="Times New Roman"/>
          <w:sz w:val="24"/>
          <w:szCs w:val="24"/>
          <w:u w:val="single"/>
        </w:rPr>
      </w:pPr>
      <w:r w:rsidRPr="00132A8A">
        <w:rPr>
          <w:rFonts w:ascii="Times New Roman" w:hAnsi="Times New Roman"/>
          <w:sz w:val="24"/>
          <w:szCs w:val="24"/>
          <w:u w:val="single"/>
        </w:rPr>
        <w:t>Self-Heating Substances</w:t>
      </w:r>
    </w:p>
    <w:p w:rsidR="00780094" w:rsidRP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H251 Self-heating; may catch fire</w:t>
      </w:r>
    </w:p>
    <w:p w:rsidR="00780094" w:rsidRDefault="00780094" w:rsidP="00780094">
      <w:pPr>
        <w:spacing w:line="240" w:lineRule="auto"/>
        <w:rPr>
          <w:rFonts w:ascii="Times New Roman" w:hAnsi="Times New Roman"/>
          <w:sz w:val="24"/>
          <w:szCs w:val="24"/>
        </w:rPr>
      </w:pPr>
      <w:r w:rsidRPr="00780094">
        <w:rPr>
          <w:rFonts w:ascii="Times New Roman" w:hAnsi="Times New Roman"/>
          <w:sz w:val="24"/>
          <w:szCs w:val="24"/>
        </w:rPr>
        <w:t>H252 Self-heating in large quantities; may catch fire</w:t>
      </w:r>
    </w:p>
    <w:p w:rsidR="00780094" w:rsidRDefault="00CF196C" w:rsidP="00780094">
      <w:pPr>
        <w:spacing w:line="240" w:lineRule="auto"/>
        <w:rPr>
          <w:rFonts w:ascii="Times New Roman" w:hAnsi="Times New Roman"/>
          <w:sz w:val="24"/>
          <w:szCs w:val="24"/>
        </w:rPr>
      </w:pPr>
      <w:r w:rsidRPr="00CF196C">
        <w:rPr>
          <w:rFonts w:ascii="Times New Roman" w:hAnsi="Times New Roman"/>
          <w:sz w:val="24"/>
          <w:szCs w:val="24"/>
        </w:rPr>
        <w:t>Please, review the SDS of any chemical before use (see Section 11 – SDS Location)</w:t>
      </w:r>
    </w:p>
    <w:p w:rsidR="00A83349" w:rsidRPr="00780094" w:rsidRDefault="00A83349" w:rsidP="00780094">
      <w:pPr>
        <w:pStyle w:val="ListParagraph"/>
        <w:numPr>
          <w:ilvl w:val="0"/>
          <w:numId w:val="13"/>
        </w:numPr>
        <w:spacing w:line="240" w:lineRule="auto"/>
        <w:rPr>
          <w:rFonts w:ascii="Times New Roman" w:hAnsi="Times New Roman"/>
          <w:b/>
          <w:sz w:val="24"/>
          <w:szCs w:val="24"/>
          <w:u w:val="single"/>
        </w:rPr>
      </w:pPr>
      <w:r w:rsidRPr="00780094">
        <w:rPr>
          <w:rFonts w:ascii="Times New Roman" w:hAnsi="Times New Roman"/>
          <w:b/>
          <w:sz w:val="24"/>
          <w:szCs w:val="24"/>
          <w:u w:val="single"/>
        </w:rPr>
        <w:t>Safety Data Sheet (SDS) Location</w:t>
      </w:r>
    </w:p>
    <w:p w:rsidR="00A83349"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2145A" w:rsidRPr="0002145A" w:rsidRDefault="0002145A" w:rsidP="0002145A">
      <w:pPr>
        <w:pStyle w:val="ListParagraph"/>
        <w:numPr>
          <w:ilvl w:val="0"/>
          <w:numId w:val="13"/>
        </w:numPr>
        <w:spacing w:line="240" w:lineRule="auto"/>
        <w:rPr>
          <w:rFonts w:ascii="Times New Roman" w:hAnsi="Times New Roman"/>
          <w:b/>
          <w:sz w:val="24"/>
          <w:szCs w:val="24"/>
          <w:u w:val="single"/>
        </w:rPr>
      </w:pPr>
      <w:r w:rsidRPr="0002145A">
        <w:rPr>
          <w:rFonts w:ascii="Times New Roman" w:hAnsi="Times New Roman"/>
          <w:b/>
          <w:sz w:val="24"/>
          <w:szCs w:val="24"/>
          <w:u w:val="single"/>
        </w:rPr>
        <w:t>Engineering Controls</w:t>
      </w:r>
    </w:p>
    <w:p w:rsidR="00780094" w:rsidRPr="00132A8A" w:rsidRDefault="00780094" w:rsidP="00132A8A">
      <w:pPr>
        <w:spacing w:line="240" w:lineRule="auto"/>
        <w:rPr>
          <w:rFonts w:ascii="Times New Roman" w:hAnsi="Times New Roman"/>
          <w:sz w:val="24"/>
          <w:szCs w:val="24"/>
        </w:rPr>
      </w:pPr>
      <w:r w:rsidRPr="00132A8A">
        <w:rPr>
          <w:rFonts w:ascii="Times New Roman" w:hAnsi="Times New Roman"/>
          <w:sz w:val="24"/>
          <w:szCs w:val="24"/>
        </w:rPr>
        <w:t>The following is the set of engineering controls required when quenching pyrophoric materials:</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 xml:space="preserve">Work under an inert atmosphere (e.g., argon, nitrogen) using a </w:t>
      </w:r>
      <w:proofErr w:type="spellStart"/>
      <w:r w:rsidRPr="00780094">
        <w:rPr>
          <w:rFonts w:ascii="Times New Roman" w:eastAsiaTheme="minorHAnsi" w:hAnsi="Times New Roman" w:cstheme="minorBidi"/>
          <w:sz w:val="24"/>
          <w:szCs w:val="24"/>
          <w:lang w:eastAsia="en-US"/>
        </w:rPr>
        <w:t>Schlenk</w:t>
      </w:r>
      <w:proofErr w:type="spellEnd"/>
      <w:r w:rsidRPr="00780094">
        <w:rPr>
          <w:rFonts w:ascii="Times New Roman" w:eastAsiaTheme="minorHAnsi" w:hAnsi="Times New Roman" w:cstheme="minorBidi"/>
          <w:sz w:val="24"/>
          <w:szCs w:val="24"/>
          <w:lang w:eastAsia="en-US"/>
        </w:rPr>
        <w:t xml:space="preserve"> line, in a glove box, vacuum manifold, or any enclosed inert environment.</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Use a clean fume hood, preferably with the sliding sash windows or a glove box.</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If procedure is done in the fume hood, use the sash as a safety shield. For hoods with a horizontal sliding sash, position the sash all the way down, stand behind the sliding windows and reach around to perform the manipulations required. For hoods with vertical sliding sash, keep the sash as low as possible.</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Face shields are to be used when there is no protection from the hood sash or when the hood sash is open.</w:t>
      </w:r>
    </w:p>
    <w:p w:rsidR="00780094" w:rsidRPr="00780094" w:rsidRDefault="00780094" w:rsidP="00780094">
      <w:pPr>
        <w:pStyle w:val="ListParagraph"/>
        <w:numPr>
          <w:ilvl w:val="0"/>
          <w:numId w:val="34"/>
        </w:numPr>
        <w:spacing w:line="240" w:lineRule="auto"/>
        <w:rPr>
          <w:rFonts w:ascii="Times New Roman" w:eastAsiaTheme="minorHAnsi" w:hAnsi="Times New Roman" w:cstheme="minorBidi"/>
          <w:sz w:val="24"/>
          <w:szCs w:val="24"/>
          <w:lang w:eastAsia="en-US"/>
        </w:rPr>
      </w:pPr>
      <w:r w:rsidRPr="00780094">
        <w:rPr>
          <w:rFonts w:ascii="Times New Roman" w:eastAsiaTheme="minorHAnsi" w:hAnsi="Times New Roman" w:cstheme="minorBidi"/>
          <w:sz w:val="24"/>
          <w:szCs w:val="24"/>
          <w:lang w:eastAsia="en-US"/>
        </w:rPr>
        <w:t>Keep the materials under inert atmosphere when not in use.</w:t>
      </w:r>
    </w:p>
    <w:p w:rsidR="0002145A" w:rsidRPr="00780094" w:rsidRDefault="00780094" w:rsidP="00780094">
      <w:pPr>
        <w:pStyle w:val="ListParagraph"/>
        <w:numPr>
          <w:ilvl w:val="0"/>
          <w:numId w:val="34"/>
        </w:numPr>
        <w:spacing w:line="240" w:lineRule="auto"/>
        <w:rPr>
          <w:rFonts w:ascii="Times New Roman" w:hAnsi="Times New Roman"/>
          <w:sz w:val="24"/>
          <w:szCs w:val="24"/>
        </w:rPr>
      </w:pPr>
      <w:r w:rsidRPr="00780094">
        <w:rPr>
          <w:rFonts w:ascii="Times New Roman" w:eastAsiaTheme="minorHAnsi" w:hAnsi="Times New Roman" w:cstheme="minorBidi"/>
          <w:sz w:val="24"/>
          <w:szCs w:val="24"/>
          <w:lang w:eastAsia="en-US"/>
        </w:rPr>
        <w:lastRenderedPageBreak/>
        <w:t>Remove any flammables (squirt bottles containing solvents, oil baths) and combustibles (Kimwipes, paper towels) from the area that will be used for the quenching.</w:t>
      </w:r>
    </w:p>
    <w:p w:rsidR="00780094" w:rsidRPr="00CF196C" w:rsidRDefault="00780094" w:rsidP="00780094">
      <w:pPr>
        <w:pStyle w:val="ListParagraph"/>
        <w:spacing w:line="240" w:lineRule="auto"/>
        <w:rPr>
          <w:rFonts w:ascii="Times New Roman" w:hAnsi="Times New Roman"/>
          <w:sz w:val="24"/>
          <w:szCs w:val="24"/>
        </w:rPr>
      </w:pP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At a minimum, the following PPE must be worn at all times:</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Eye Protection</w:t>
      </w:r>
    </w:p>
    <w:p w:rsidR="0002145A" w:rsidRPr="0002145A" w:rsidRDefault="0002145A" w:rsidP="0002145A">
      <w:pPr>
        <w:pStyle w:val="NoSpacing"/>
        <w:numPr>
          <w:ilvl w:val="0"/>
          <w:numId w:val="24"/>
        </w:numPr>
        <w:rPr>
          <w:rFonts w:ascii="Times New Roman" w:hAnsi="Times New Roman"/>
          <w:sz w:val="24"/>
          <w:szCs w:val="24"/>
        </w:rPr>
      </w:pPr>
      <w:r w:rsidRPr="0002145A">
        <w:rPr>
          <w:rFonts w:ascii="Times New Roman" w:hAnsi="Times New Roman"/>
          <w:sz w:val="24"/>
          <w:szCs w:val="24"/>
        </w:rPr>
        <w:t>ANSI Z87.1-compliant safety glasses with side shields, or chemical splash goggles.</w:t>
      </w:r>
    </w:p>
    <w:p w:rsidR="0002145A" w:rsidRPr="0002145A" w:rsidRDefault="0002145A" w:rsidP="0002145A">
      <w:pPr>
        <w:pStyle w:val="NoSpacing"/>
        <w:numPr>
          <w:ilvl w:val="0"/>
          <w:numId w:val="19"/>
        </w:numPr>
        <w:rPr>
          <w:rFonts w:ascii="Times New Roman" w:hAnsi="Times New Roman"/>
          <w:sz w:val="24"/>
          <w:szCs w:val="24"/>
        </w:rPr>
      </w:pPr>
      <w:r w:rsidRPr="0002145A">
        <w:rPr>
          <w:rFonts w:ascii="Times New Roman" w:hAnsi="Times New Roman"/>
          <w:sz w:val="24"/>
          <w:szCs w:val="24"/>
        </w:rPr>
        <w:t>Ordinary prescription glasses will NOT provide adequate protection unless they also meet ANSI standard and have compliant side shields.</w:t>
      </w:r>
    </w:p>
    <w:p w:rsidR="00977867" w:rsidRDefault="0002145A" w:rsidP="0002145A">
      <w:pPr>
        <w:pStyle w:val="NoSpacing"/>
        <w:numPr>
          <w:ilvl w:val="0"/>
          <w:numId w:val="24"/>
        </w:numPr>
        <w:rPr>
          <w:rFonts w:ascii="Times New Roman" w:hAnsi="Times New Roman"/>
          <w:sz w:val="24"/>
          <w:szCs w:val="24"/>
        </w:rPr>
      </w:pPr>
      <w:r w:rsidRPr="0002145A">
        <w:rPr>
          <w:rFonts w:ascii="Times New Roman" w:hAnsi="Times New Roman"/>
          <w:sz w:val="24"/>
          <w:szCs w:val="24"/>
        </w:rPr>
        <w:t>If the potential for explosion/splashing exists, and adequate coverage is not provided by the hood sash, a face shield should be worn.</w:t>
      </w:r>
    </w:p>
    <w:p w:rsidR="0002145A" w:rsidRDefault="0002145A" w:rsidP="0002145A">
      <w:pPr>
        <w:pStyle w:val="NoSpacing"/>
        <w:rPr>
          <w:rFonts w:ascii="Times New Roman" w:hAnsi="Times New Roman"/>
          <w:sz w:val="24"/>
          <w:szCs w:val="24"/>
        </w:rPr>
      </w:pPr>
    </w:p>
    <w:p w:rsidR="0002145A" w:rsidRDefault="0002145A" w:rsidP="0002145A">
      <w:pPr>
        <w:pStyle w:val="NoSpacing"/>
        <w:rPr>
          <w:rFonts w:ascii="Times New Roman" w:hAnsi="Times New Roman"/>
          <w:sz w:val="24"/>
          <w:szCs w:val="24"/>
        </w:rPr>
      </w:pPr>
      <w:r>
        <w:rPr>
          <w:b/>
          <w:bCs/>
        </w:rPr>
        <w:t>Skin Protection</w:t>
      </w:r>
    </w:p>
    <w:p w:rsidR="0002145A" w:rsidRP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Flame-resistant lab coat (Nomex IIIA, NFPA 2112) should be worn when working with pyrophoric and self-hea</w:t>
      </w:r>
      <w:r>
        <w:rPr>
          <w:rFonts w:ascii="Times New Roman" w:hAnsi="Times New Roman"/>
          <w:sz w:val="24"/>
          <w:szCs w:val="24"/>
        </w:rPr>
        <w:t>l</w:t>
      </w:r>
      <w:r w:rsidRPr="0002145A">
        <w:rPr>
          <w:rFonts w:ascii="Times New Roman" w:hAnsi="Times New Roman"/>
          <w:sz w:val="24"/>
          <w:szCs w:val="24"/>
        </w:rPr>
        <w:t>ing materials.</w:t>
      </w:r>
    </w:p>
    <w:p w:rsidR="0002145A" w:rsidRP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Gloves are required when handling hazardous materials. Refer to the specific chemical SDS for information on glove selection.</w:t>
      </w:r>
    </w:p>
    <w:p w:rsid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Long pants, closed-toe/closed-heel shoes, covered legs, and ankles. Cotton-based, non-synthetic clothing should be worn.</w:t>
      </w:r>
    </w:p>
    <w:p w:rsidR="00977867" w:rsidRPr="00977867" w:rsidRDefault="00977867" w:rsidP="00977867">
      <w:pPr>
        <w:pStyle w:val="ListParagraph"/>
        <w:spacing w:line="240" w:lineRule="auto"/>
        <w:rPr>
          <w:rFonts w:ascii="Times New Roman" w:hAnsi="Times New Roman"/>
          <w:sz w:val="24"/>
          <w:szCs w:val="24"/>
        </w:rPr>
      </w:pPr>
    </w:p>
    <w:p w:rsidR="00A83349" w:rsidRPr="00977867" w:rsidRDefault="00977867" w:rsidP="00977867">
      <w:pPr>
        <w:pStyle w:val="ListParagraph"/>
        <w:numPr>
          <w:ilvl w:val="0"/>
          <w:numId w:val="13"/>
        </w:numPr>
        <w:spacing w:line="240" w:lineRule="auto"/>
        <w:rPr>
          <w:rFonts w:ascii="Times New Roman" w:hAnsi="Times New Roman"/>
          <w:b/>
          <w:color w:val="D03C20"/>
          <w:sz w:val="24"/>
          <w:szCs w:val="24"/>
        </w:rPr>
      </w:pPr>
      <w:r w:rsidRPr="00977867">
        <w:rPr>
          <w:rFonts w:ascii="Times New Roman" w:hAnsi="Times New Roman"/>
          <w:b/>
          <w:sz w:val="24"/>
          <w:szCs w:val="24"/>
          <w:u w:val="single"/>
        </w:rPr>
        <w:t>Administrative Controls</w:t>
      </w:r>
      <w:r w:rsidR="00A83349" w:rsidRPr="00977867">
        <w:rPr>
          <w:rFonts w:ascii="Times New Roman" w:hAnsi="Times New Roman"/>
          <w:b/>
          <w:sz w:val="24"/>
          <w:szCs w:val="24"/>
          <w:u w:val="single"/>
        </w:rPr>
        <w:t xml:space="preserve">: </w:t>
      </w:r>
    </w:p>
    <w:p w:rsidR="00977867" w:rsidRPr="0002145A" w:rsidRDefault="00977867" w:rsidP="0002145A">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Anyone who uses </w:t>
      </w:r>
      <w:proofErr w:type="spellStart"/>
      <w:r w:rsidR="0002145A">
        <w:rPr>
          <w:rFonts w:ascii="Times New Roman" w:hAnsi="Times New Roman"/>
          <w:sz w:val="24"/>
          <w:szCs w:val="24"/>
        </w:rPr>
        <w:t>Pyrophoirics</w:t>
      </w:r>
      <w:proofErr w:type="spellEnd"/>
      <w:r w:rsidRPr="00977867">
        <w:rPr>
          <w:rFonts w:ascii="Times New Roman" w:hAnsi="Times New Roman"/>
          <w:sz w:val="24"/>
          <w:szCs w:val="24"/>
        </w:rPr>
        <w:t xml:space="preserve"> is required to review this SOP and the attached Safety Data Sheet (SDS) prior to work.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Keep quantities to a minimum and only order what you will be using.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 eyewash must be available in the room with a safety shower accessible nearby. </w:t>
      </w:r>
    </w:p>
    <w:p w:rsidR="00977867" w:rsidRPr="00977867" w:rsidRDefault="00977867" w:rsidP="00977867">
      <w:pPr>
        <w:pStyle w:val="ListParagraph"/>
        <w:spacing w:line="240" w:lineRule="auto"/>
        <w:rPr>
          <w:rFonts w:ascii="Times New Roman" w:hAnsi="Times New Roman"/>
          <w:sz w:val="24"/>
          <w:szCs w:val="24"/>
        </w:rPr>
      </w:pPr>
    </w:p>
    <w:p w:rsidR="00A83349" w:rsidRPr="00BB13A3" w:rsidRDefault="00977867"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Best Practices for Safe Handling</w:t>
      </w:r>
      <w:r w:rsidR="00A83349" w:rsidRPr="00BB13A3">
        <w:rPr>
          <w:rFonts w:ascii="Times New Roman" w:hAnsi="Times New Roman"/>
          <w:b/>
          <w:sz w:val="24"/>
          <w:szCs w:val="24"/>
          <w:u w:val="single"/>
        </w:rPr>
        <w:t>:</w:t>
      </w:r>
      <w:r>
        <w:rPr>
          <w:rFonts w:ascii="Times New Roman" w:hAnsi="Times New Roman"/>
          <w:b/>
          <w:color w:val="D03C20"/>
          <w:sz w:val="24"/>
          <w:szCs w:val="24"/>
        </w:rPr>
        <w:t xml:space="preserve"> </w:t>
      </w:r>
    </w:p>
    <w:p w:rsidR="00780094" w:rsidRDefault="00780094" w:rsidP="00CF196C">
      <w:pPr>
        <w:spacing w:line="240" w:lineRule="auto"/>
        <w:rPr>
          <w:rFonts w:ascii="Times New Roman" w:hAnsi="Times New Roman"/>
          <w:sz w:val="24"/>
          <w:szCs w:val="24"/>
        </w:rPr>
      </w:pPr>
      <w:r w:rsidRPr="00780094">
        <w:rPr>
          <w:rFonts w:ascii="Times New Roman" w:hAnsi="Times New Roman"/>
          <w:sz w:val="24"/>
          <w:szCs w:val="24"/>
        </w:rPr>
        <w:t>Pyrophoric reagents can be handled and stored safely as long as all exposure to atmospheric oxygen and moisture or other incompatible chemicals is avoided. Never leave a container with a residue of a pyrophoric material open to the atmosphere.</w:t>
      </w:r>
      <w:r>
        <w:rPr>
          <w:rFonts w:ascii="Times New Roman" w:hAnsi="Times New Roman"/>
          <w:sz w:val="24"/>
          <w:szCs w:val="24"/>
        </w:rPr>
        <w:t xml:space="preserve"> </w:t>
      </w:r>
    </w:p>
    <w:p w:rsid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Lab-specific information on handling and storage may be included in Section 12 - Protocol/Procedure section.</w:t>
      </w:r>
    </w:p>
    <w:p w:rsidR="00731666" w:rsidRPr="00731666" w:rsidRDefault="00731666" w:rsidP="00731666">
      <w:pPr>
        <w:spacing w:line="240" w:lineRule="auto"/>
        <w:rPr>
          <w:rFonts w:ascii="Times New Roman" w:hAnsi="Times New Roman"/>
          <w:b/>
          <w:sz w:val="24"/>
          <w:szCs w:val="24"/>
        </w:rPr>
      </w:pPr>
      <w:r w:rsidRPr="00731666">
        <w:rPr>
          <w:rFonts w:ascii="Times New Roman" w:hAnsi="Times New Roman"/>
          <w:b/>
          <w:sz w:val="24"/>
          <w:szCs w:val="24"/>
        </w:rPr>
        <w:t>Handling Pyrophoric Liquids</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There are two basic techniques to transfer pyrophoric liquids: the syringe and the cannula needle (over-pressure transfer). The syringe must only be used for small quantities (less than 20 mL). To conveniently transfer 20 mL or more of reagent at once, the cannula technique must be used.</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 A glovebox or a </w:t>
      </w:r>
      <w:proofErr w:type="spellStart"/>
      <w:r w:rsidRPr="00731666">
        <w:rPr>
          <w:rFonts w:ascii="Times New Roman" w:hAnsi="Times New Roman"/>
          <w:sz w:val="24"/>
          <w:szCs w:val="24"/>
        </w:rPr>
        <w:t>Schlenk</w:t>
      </w:r>
      <w:proofErr w:type="spellEnd"/>
      <w:r w:rsidRPr="00731666">
        <w:rPr>
          <w:rFonts w:ascii="Times New Roman" w:hAnsi="Times New Roman"/>
          <w:sz w:val="24"/>
          <w:szCs w:val="24"/>
        </w:rPr>
        <w:t xml:space="preserve"> line in a fume hood with inert gas flow will be necessary. The sure-seal cap system provides a convenient method for storing and dispensing air-sensitive reagents.</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Pyrophoric solids must be transferred under an inert atmosphere in a glove box.</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lastRenderedPageBreak/>
        <w:t>• Pyrophoric gases must be handled in compliance with the California Fire Code, Chapter 41.</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Eliminate or substitute for a less hazardous material when possible.</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Design your experiment to use the least amount of material possible to achieve the desired result.</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 Do not exceed the scale of procedures specified in Protocol/Procedure section without </w:t>
      </w:r>
      <w:r>
        <w:rPr>
          <w:rFonts w:ascii="Times New Roman" w:hAnsi="Times New Roman"/>
          <w:sz w:val="24"/>
          <w:szCs w:val="24"/>
        </w:rPr>
        <w:t xml:space="preserve">the </w:t>
      </w:r>
      <w:r w:rsidRPr="00731666">
        <w:rPr>
          <w:rFonts w:ascii="Times New Roman" w:hAnsi="Times New Roman"/>
          <w:sz w:val="24"/>
          <w:szCs w:val="24"/>
        </w:rPr>
        <w:t>approval of the PI.</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Verify your experimental set-up and procedure prior to use.</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Know the location of the nearest eyewash, safety shower</w:t>
      </w:r>
      <w:r>
        <w:rPr>
          <w:rFonts w:ascii="Times New Roman" w:hAnsi="Times New Roman"/>
          <w:sz w:val="24"/>
          <w:szCs w:val="24"/>
        </w:rPr>
        <w:t>,</w:t>
      </w:r>
      <w:r w:rsidRPr="00731666">
        <w:rPr>
          <w:rFonts w:ascii="Times New Roman" w:hAnsi="Times New Roman"/>
          <w:sz w:val="24"/>
          <w:szCs w:val="24"/>
        </w:rPr>
        <w:t xml:space="preserve"> and fire extinguisher before beginning work.</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Upon leaving the work area, remove any personal protective equipment worn and wash hands.</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At the end of each project, thoroughly decontaminate the work area according to the material being handled.</w:t>
      </w:r>
    </w:p>
    <w:p w:rsidR="00731666" w:rsidRPr="00731666" w:rsidRDefault="00731666" w:rsidP="00731666">
      <w:pPr>
        <w:spacing w:line="240" w:lineRule="auto"/>
        <w:rPr>
          <w:rFonts w:ascii="Times New Roman" w:hAnsi="Times New Roman"/>
          <w:b/>
          <w:sz w:val="24"/>
          <w:szCs w:val="24"/>
        </w:rPr>
      </w:pPr>
      <w:r w:rsidRPr="00731666">
        <w:rPr>
          <w:rFonts w:ascii="Times New Roman" w:hAnsi="Times New Roman"/>
          <w:b/>
          <w:sz w:val="24"/>
          <w:szCs w:val="24"/>
        </w:rPr>
        <w:t>Storage of Pyrophoric Materials</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Keep the material under inert atmosphere when not in use.</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Store minimal amounts of pyrophoric chemicals. Containers carrying pyrophoric materials must be clearly labeled with the correct chemical name and hazard warning in English.</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Inert gas-filled desiccators or glove boxes are suitable storage locations for most materials.</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 If pyrophoric materials are received in specially designed shipping, storage or dispensing container (such as the sure-seal cap system), ensure that the integrity of that container is maintained. </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Take extreme care to prevent containers of pyrophorics from leaking or breaking. Secondary containment is required for storing and transporting pyrophoric materials. Use corrosion and shatter-resistant containers.</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Pyrophoric chemicals that require refrigeration must be stored in a flammable rated refrigerator. Materials should be in a clearly labeled secondary container on the top shelf of the refrigerator. Do not store materials in the fridge door.</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Ampules must be stored and transported in secondary containers (even in glove boxes). Take extreme care while handling ampules outside of the glove box, keep in mind that these glass containers are very fragile.</w:t>
      </w:r>
    </w:p>
    <w:p w:rsidR="00731666" w:rsidRP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Ensure that a sufficient protective solvent, oil, kerosene, or inert gas remains in the container while the material is stored.</w:t>
      </w:r>
    </w:p>
    <w:p w:rsidR="00A83349" w:rsidRPr="00BB13A3" w:rsidRDefault="00076545" w:rsidP="0002145A">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lastRenderedPageBreak/>
        <w:t>Online OSU HR Advocate Public Incident Reporting Form within 24 hours of the incident</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144C40" w:rsidRPr="00BB13A3" w:rsidRDefault="00144C40" w:rsidP="00076545">
      <w:pPr>
        <w:pStyle w:val="NoSpacing"/>
        <w:rPr>
          <w:rFonts w:ascii="Times New Roman" w:hAnsi="Times New Roman"/>
          <w:b/>
          <w:sz w:val="24"/>
          <w:szCs w:val="24"/>
        </w:rPr>
      </w:pP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In case of skin contact</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If skin contact occurs, and/or skin or clothing are on fire, immediately drench in the safety shower with copious amounts of water for no less than 15 minutes to remove any remaining contaminants. If possible to do so without further injury, remove any remaining jewelry or clothing.</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In case of eye contact</w:t>
      </w:r>
    </w:p>
    <w:p w:rsidR="0002145A" w:rsidRDefault="0002145A" w:rsidP="0002145A">
      <w:pPr>
        <w:pStyle w:val="NoSpacing"/>
        <w:rPr>
          <w:rFonts w:ascii="Times New Roman" w:hAnsi="Times New Roman"/>
          <w:sz w:val="24"/>
          <w:szCs w:val="24"/>
        </w:rPr>
      </w:pPr>
      <w:r w:rsidRPr="0002145A">
        <w:rPr>
          <w:rFonts w:ascii="Times New Roman" w:hAnsi="Times New Roman"/>
          <w:sz w:val="24"/>
          <w:szCs w:val="24"/>
        </w:rPr>
        <w:t>Rinse thoroughly with plenty of water using an eyewash station for at least 15 minutes, occasionally lifting the upper and lower eyelids. Remove contact lenses if possible.</w:t>
      </w:r>
    </w:p>
    <w:p w:rsidR="0002145A" w:rsidRPr="0002145A" w:rsidRDefault="00B92038" w:rsidP="0002145A">
      <w:pPr>
        <w:pStyle w:val="NoSpacing"/>
        <w:rPr>
          <w:rFonts w:ascii="Times New Roman" w:hAnsi="Times New Roman"/>
          <w:sz w:val="24"/>
          <w:szCs w:val="24"/>
        </w:rPr>
      </w:pPr>
      <w:hyperlink r:id="rId8" w:history="1">
        <w:r w:rsidR="0002145A" w:rsidRPr="00BB13A3">
          <w:rPr>
            <w:rStyle w:val="Hyperlink"/>
            <w:rFonts w:ascii="Times New Roman" w:hAnsi="Times New Roman"/>
            <w:sz w:val="24"/>
            <w:szCs w:val="24"/>
          </w:rPr>
          <w:t>http://ehs.oregonstate.edu/sites/ehs.oregonstate.edu/files/pdf/si/eyewash_and_safety_shower_si.pdf</w:t>
        </w:r>
      </w:hyperlink>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If swallowed</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Do NOT induce vomiting unless directed otherwise by the SDS. Never give anything by mouth to an unconscious person. Rinse mouth with water.</w:t>
      </w:r>
    </w:p>
    <w:p w:rsidR="00731666" w:rsidRDefault="00731666" w:rsidP="0002145A">
      <w:pPr>
        <w:pStyle w:val="NoSpacing"/>
        <w:rPr>
          <w:rFonts w:ascii="Times New Roman" w:hAnsi="Times New Roman"/>
          <w:sz w:val="24"/>
          <w:szCs w:val="24"/>
        </w:rPr>
      </w:pPr>
    </w:p>
    <w:p w:rsidR="0002145A" w:rsidRPr="00731666" w:rsidRDefault="0002145A" w:rsidP="0002145A">
      <w:pPr>
        <w:pStyle w:val="NoSpacing"/>
        <w:rPr>
          <w:rFonts w:ascii="Times New Roman" w:hAnsi="Times New Roman"/>
          <w:b/>
          <w:sz w:val="24"/>
          <w:szCs w:val="24"/>
        </w:rPr>
      </w:pPr>
      <w:r w:rsidRPr="00731666">
        <w:rPr>
          <w:rFonts w:ascii="Times New Roman" w:hAnsi="Times New Roman"/>
          <w:b/>
          <w:sz w:val="24"/>
          <w:szCs w:val="24"/>
        </w:rPr>
        <w:t>Needle stick/puncture exposure</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Wash the affected area with antiseptic soap and warm water for 15 minutes. For mucous membrane exposure such as eyes, mouth and/or nose, flush the affected area for 15 minutes using an eyewash station.</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If inhaled</w:t>
      </w:r>
    </w:p>
    <w:p w:rsidR="00076545" w:rsidRPr="00BB13A3" w:rsidRDefault="0002145A" w:rsidP="0002145A">
      <w:pPr>
        <w:spacing w:line="240" w:lineRule="auto"/>
        <w:rPr>
          <w:rFonts w:ascii="Times New Roman" w:hAnsi="Times New Roman" w:cs="Times New Roman"/>
          <w:b/>
          <w:sz w:val="24"/>
          <w:szCs w:val="24"/>
        </w:rPr>
      </w:pPr>
      <w:r w:rsidRPr="0002145A">
        <w:rPr>
          <w:rFonts w:ascii="Times New Roman" w:hAnsi="Times New Roman"/>
          <w:sz w:val="24"/>
          <w:szCs w:val="24"/>
        </w:rPr>
        <w:t xml:space="preserve">Move into </w:t>
      </w:r>
      <w:r w:rsidR="00731666">
        <w:rPr>
          <w:rFonts w:ascii="Times New Roman" w:hAnsi="Times New Roman"/>
          <w:sz w:val="24"/>
          <w:szCs w:val="24"/>
        </w:rPr>
        <w:t xml:space="preserve">the </w:t>
      </w:r>
      <w:r w:rsidRPr="0002145A">
        <w:rPr>
          <w:rFonts w:ascii="Times New Roman" w:hAnsi="Times New Roman"/>
          <w:sz w:val="24"/>
          <w:szCs w:val="24"/>
        </w:rPr>
        <w:t>fresh</w:t>
      </w:r>
      <w:r w:rsidRPr="0002145A">
        <w:rPr>
          <w:rFonts w:ascii="Times New Roman" w:hAnsi="Times New Roman"/>
          <w:b/>
          <w:sz w:val="24"/>
          <w:szCs w:val="24"/>
        </w:rPr>
        <w:t xml:space="preserve"> </w:t>
      </w:r>
      <w:r w:rsidRPr="0002145A">
        <w:rPr>
          <w:rFonts w:ascii="Times New Roman" w:hAnsi="Times New Roman"/>
          <w:sz w:val="24"/>
          <w:szCs w:val="24"/>
        </w:rPr>
        <w:t>air.</w:t>
      </w:r>
      <w:r w:rsidR="00E84FE2" w:rsidRPr="00BB13A3">
        <w:rPr>
          <w:rFonts w:ascii="Times New Roman" w:hAnsi="Times New Roman" w:cs="Times New Roman"/>
          <w:sz w:val="24"/>
          <w:szCs w:val="24"/>
        </w:rPr>
        <w:t xml:space="preserve"> </w:t>
      </w:r>
    </w:p>
    <w:p w:rsidR="00154C6B" w:rsidRPr="00BB13A3" w:rsidRDefault="00154C6B" w:rsidP="00076545">
      <w:pPr>
        <w:pStyle w:val="NoSpacing"/>
        <w:rPr>
          <w:rFonts w:ascii="Times New Roman" w:hAnsi="Times New Roman"/>
          <w:b/>
          <w:sz w:val="24"/>
          <w:szCs w:val="24"/>
        </w:rPr>
      </w:pP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p>
    <w:p w:rsidR="004E35D3" w:rsidRPr="00BB13A3" w:rsidRDefault="00E84FE2"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9" w:history="1">
        <w:r w:rsidRPr="00BB13A3">
          <w:rPr>
            <w:rStyle w:val="Hyperlink"/>
            <w:rFonts w:ascii="Times New Roman" w:hAnsi="Times New Roman" w:cs="Times New Roman"/>
            <w:sz w:val="24"/>
            <w:szCs w:val="24"/>
          </w:rPr>
          <w:t>http://ehs.oregonstate.edu/sites/ehs.oregonstate.edu/files/pdf/si/spill_response-chemicals_si.019.pdf</w:t>
        </w:r>
      </w:hyperlink>
    </w:p>
    <w:p w:rsidR="00780094" w:rsidRPr="00780094" w:rsidRDefault="00780094" w:rsidP="00780094">
      <w:pPr>
        <w:autoSpaceDE w:val="0"/>
        <w:autoSpaceDN w:val="0"/>
        <w:adjustRightInd w:val="0"/>
        <w:spacing w:line="240" w:lineRule="auto"/>
        <w:rPr>
          <w:rFonts w:ascii="Times New Roman" w:hAnsi="Times New Roman"/>
          <w:b/>
          <w:bCs/>
          <w:sz w:val="24"/>
          <w:szCs w:val="24"/>
        </w:rPr>
      </w:pPr>
      <w:r w:rsidRPr="00780094">
        <w:rPr>
          <w:rFonts w:ascii="Times New Roman" w:hAnsi="Times New Roman"/>
          <w:b/>
          <w:bCs/>
          <w:sz w:val="24"/>
          <w:szCs w:val="24"/>
        </w:rPr>
        <w:t>Pyrophoric Spill Response</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Disposal of Pyrophoric Reagents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Never leave a container with a residue of a pyrophoric material open to the atmosphere.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Any unused or unwanted pyrophoric materials must be destroyed by following the specific destruction procedure(s) included in your “Hazardous Operation SOP – Quenching of Pyrophoric Materials”. As an alternative to quenching, remember that pyrophoric chemicals can be disposed of as hazardous waste (contact EH&amp;S for guidance on disposal).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Waste materials generated must be treated as a hazardous waste.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The empty container must be rinsed three times with a COMPATIBLE solvent; leave it open in the back of the hood overnight. The rinse solvent must be transferred in and out </w:t>
      </w:r>
      <w:r w:rsidRPr="00731666">
        <w:rPr>
          <w:rFonts w:ascii="Times New Roman" w:hAnsi="Times New Roman"/>
          <w:bCs/>
          <w:sz w:val="24"/>
          <w:szCs w:val="24"/>
        </w:rPr>
        <w:lastRenderedPageBreak/>
        <w:t xml:space="preserve">of the container under an inert atmosphere using the syringe or cannula technique. Solvent rinses and water rinse must be disposed of as hazardous waste.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As an alternative, </w:t>
      </w:r>
      <w:proofErr w:type="spellStart"/>
      <w:r w:rsidRPr="00731666">
        <w:rPr>
          <w:rFonts w:ascii="Times New Roman" w:hAnsi="Times New Roman"/>
          <w:bCs/>
          <w:sz w:val="24"/>
          <w:szCs w:val="24"/>
        </w:rPr>
        <w:t>unrinsed</w:t>
      </w:r>
      <w:proofErr w:type="spellEnd"/>
      <w:r w:rsidRPr="00731666">
        <w:rPr>
          <w:rFonts w:ascii="Times New Roman" w:hAnsi="Times New Roman"/>
          <w:bCs/>
          <w:sz w:val="24"/>
          <w:szCs w:val="24"/>
        </w:rPr>
        <w:t xml:space="preserve"> empty containers can be disposed of through EH&amp;S as hazardous waste. The </w:t>
      </w:r>
      <w:proofErr w:type="spellStart"/>
      <w:r w:rsidRPr="00731666">
        <w:rPr>
          <w:rFonts w:ascii="Times New Roman" w:hAnsi="Times New Roman"/>
          <w:bCs/>
          <w:sz w:val="24"/>
          <w:szCs w:val="24"/>
        </w:rPr>
        <w:t>unrinsed</w:t>
      </w:r>
      <w:proofErr w:type="spellEnd"/>
      <w:r w:rsidRPr="00731666">
        <w:rPr>
          <w:rFonts w:ascii="Times New Roman" w:hAnsi="Times New Roman"/>
          <w:bCs/>
          <w:sz w:val="24"/>
          <w:szCs w:val="24"/>
        </w:rPr>
        <w:t xml:space="preserve"> empty containers must be capped.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Do not mix with incompatible waste streams. </w:t>
      </w:r>
    </w:p>
    <w:p w:rsidR="00731666" w:rsidRPr="00731666"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Decontamination of containers in order to use them for other purposes is not permitted. </w:t>
      </w:r>
    </w:p>
    <w:p w:rsidR="0002145A" w:rsidRPr="00780094" w:rsidRDefault="00731666" w:rsidP="00731666">
      <w:pPr>
        <w:pStyle w:val="ListParagraph"/>
        <w:numPr>
          <w:ilvl w:val="0"/>
          <w:numId w:val="35"/>
        </w:numPr>
        <w:autoSpaceDE w:val="0"/>
        <w:autoSpaceDN w:val="0"/>
        <w:adjustRightInd w:val="0"/>
        <w:spacing w:line="240" w:lineRule="auto"/>
        <w:rPr>
          <w:rFonts w:ascii="Times New Roman" w:hAnsi="Times New Roman"/>
          <w:bCs/>
          <w:sz w:val="24"/>
          <w:szCs w:val="24"/>
        </w:rPr>
      </w:pPr>
      <w:r w:rsidRPr="00731666">
        <w:rPr>
          <w:rFonts w:ascii="Times New Roman" w:hAnsi="Times New Roman"/>
          <w:bCs/>
          <w:sz w:val="24"/>
          <w:szCs w:val="24"/>
        </w:rPr>
        <w:t xml:space="preserve"> </w:t>
      </w:r>
      <w:r w:rsidR="0002145A" w:rsidRPr="00780094">
        <w:rPr>
          <w:rFonts w:ascii="Times New Roman" w:hAnsi="Times New Roman"/>
          <w:bCs/>
          <w:sz w:val="24"/>
          <w:szCs w:val="24"/>
        </w:rPr>
        <w:t>Report the spill to 541-714-SAFE.</w:t>
      </w:r>
    </w:p>
    <w:p w:rsidR="00780094" w:rsidRPr="00780094" w:rsidRDefault="00780094" w:rsidP="00780094">
      <w:pPr>
        <w:spacing w:line="240" w:lineRule="auto"/>
        <w:rPr>
          <w:rFonts w:ascii="Times New Roman" w:hAnsi="Times New Roman"/>
          <w:b/>
          <w:bCs/>
          <w:sz w:val="24"/>
          <w:szCs w:val="24"/>
        </w:rPr>
      </w:pPr>
      <w:r w:rsidRPr="00780094">
        <w:rPr>
          <w:rFonts w:ascii="Times New Roman" w:hAnsi="Times New Roman"/>
          <w:b/>
          <w:bCs/>
          <w:sz w:val="24"/>
          <w:szCs w:val="24"/>
        </w:rPr>
        <w:t>Pyrophoric Fire Response</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Call 911 for emergency assistance and for assistance with all fires, even if extinguished.</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If the spill ignites, and if you are trained and you feel comfortable to do so, consider extinguishing the fire with an appropriate fire extinguisher. Only dry chemical fire extinguishers should be used (classes ABC or D). Do not use a CO2 extinguisher.</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A can of Met-L-X or dry sand in the work area, within arm’s reach, might be helpful to extinguish any small fire as it can smother the flames.</w:t>
      </w:r>
    </w:p>
    <w:p w:rsidR="00780094"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Do not use water to extinguish a pyrophoric chemical fire as it may enhance the intensity of the fire. An exception to this would be in the case of skin contact or ignited clothing/skin. In these cases rinsing any unreacted chemical off is of primary importance.</w:t>
      </w:r>
    </w:p>
    <w:p w:rsidR="00CF196C" w:rsidRPr="00780094" w:rsidRDefault="00780094" w:rsidP="00780094">
      <w:pPr>
        <w:pStyle w:val="ListParagraph"/>
        <w:numPr>
          <w:ilvl w:val="0"/>
          <w:numId w:val="36"/>
        </w:numPr>
        <w:spacing w:line="240" w:lineRule="auto"/>
        <w:rPr>
          <w:rFonts w:ascii="Times New Roman" w:hAnsi="Times New Roman"/>
          <w:bCs/>
          <w:sz w:val="24"/>
          <w:szCs w:val="24"/>
        </w:rPr>
      </w:pPr>
      <w:r w:rsidRPr="00780094">
        <w:rPr>
          <w:rFonts w:ascii="Times New Roman" w:hAnsi="Times New Roman"/>
          <w:bCs/>
          <w:sz w:val="24"/>
          <w:szCs w:val="24"/>
        </w:rPr>
        <w:t>Be AWARE: Small flames at the tip of the needles can be produced – always expect this to occur, and do not panic. The can of Met-L-X/sand is in the hood to quickly extinguish those small flames.</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02145A" w:rsidRPr="0002145A" w:rsidRDefault="0002145A" w:rsidP="0002145A">
      <w:pPr>
        <w:spacing w:before="20" w:after="20" w:line="240" w:lineRule="auto"/>
        <w:rPr>
          <w:rFonts w:ascii="Times New Roman" w:hAnsi="Times New Roman" w:cs="Times New Roman"/>
          <w:bCs/>
          <w:sz w:val="24"/>
          <w:szCs w:val="24"/>
        </w:rPr>
      </w:pPr>
      <w:r w:rsidRPr="0002145A">
        <w:rPr>
          <w:rFonts w:ascii="Times New Roman" w:hAnsi="Times New Roman" w:cs="Times New Roman"/>
          <w:bCs/>
          <w:sz w:val="24"/>
          <w:szCs w:val="24"/>
        </w:rPr>
        <w:t>Lab-specific information on decontamination may be included in the Protocol/Procedure section.</w:t>
      </w:r>
    </w:p>
    <w:p w:rsidR="00283C20" w:rsidRPr="0002145A" w:rsidRDefault="0002145A" w:rsidP="0002145A">
      <w:pPr>
        <w:pStyle w:val="ListParagraph"/>
        <w:numPr>
          <w:ilvl w:val="0"/>
          <w:numId w:val="27"/>
        </w:numPr>
        <w:spacing w:before="20" w:after="20" w:line="240" w:lineRule="auto"/>
        <w:rPr>
          <w:rFonts w:ascii="Times New Roman" w:hAnsi="Times New Roman"/>
          <w:bCs/>
          <w:sz w:val="24"/>
          <w:szCs w:val="24"/>
        </w:rPr>
      </w:pPr>
      <w:r w:rsidRPr="0002145A">
        <w:rPr>
          <w:rFonts w:ascii="Times New Roman" w:hAnsi="Times New Roman"/>
          <w:bCs/>
          <w:sz w:val="24"/>
          <w:szCs w:val="24"/>
        </w:rPr>
        <w:t>Wearing proper PPE, laboratory work surfaces should be cleaned at the end of each workday.</w:t>
      </w:r>
    </w:p>
    <w:p w:rsidR="00283C20" w:rsidRPr="0002145A" w:rsidRDefault="00283C20" w:rsidP="0002145A">
      <w:pPr>
        <w:pStyle w:val="ListParagraph"/>
        <w:numPr>
          <w:ilvl w:val="0"/>
          <w:numId w:val="27"/>
        </w:numPr>
        <w:spacing w:before="20" w:after="20" w:line="240" w:lineRule="auto"/>
        <w:rPr>
          <w:rFonts w:ascii="Times New Roman" w:hAnsi="Times New Roman"/>
          <w:bCs/>
          <w:sz w:val="24"/>
          <w:szCs w:val="24"/>
        </w:rPr>
      </w:pPr>
      <w:r w:rsidRPr="0002145A">
        <w:rPr>
          <w:rFonts w:ascii="Times New Roman" w:hAnsi="Times New Roman"/>
          <w:bCs/>
          <w:sz w:val="24"/>
          <w:szCs w:val="24"/>
        </w:rPr>
        <w:t xml:space="preserve">Store liquid wastes in designated waste containers. Dispose of according the OSU EH&amp;S hazardous waste guidelines. </w:t>
      </w:r>
    </w:p>
    <w:p w:rsidR="00731666" w:rsidRDefault="00731666" w:rsidP="00731666">
      <w:pPr>
        <w:spacing w:before="20" w:after="20" w:line="240" w:lineRule="auto"/>
        <w:rPr>
          <w:rFonts w:ascii="Times New Roman" w:hAnsi="Times New Roman" w:cs="Times New Roman"/>
          <w:bCs/>
          <w:sz w:val="24"/>
          <w:szCs w:val="24"/>
        </w:rPr>
      </w:pPr>
    </w:p>
    <w:p w:rsidR="00731666" w:rsidRPr="00731666" w:rsidRDefault="00731666" w:rsidP="00731666">
      <w:pPr>
        <w:spacing w:before="20" w:after="20" w:line="240" w:lineRule="auto"/>
        <w:rPr>
          <w:rFonts w:ascii="Times New Roman" w:hAnsi="Times New Roman" w:cs="Times New Roman"/>
          <w:b/>
          <w:bCs/>
          <w:sz w:val="24"/>
          <w:szCs w:val="24"/>
        </w:rPr>
      </w:pPr>
      <w:r w:rsidRPr="00731666">
        <w:rPr>
          <w:rFonts w:ascii="Times New Roman" w:hAnsi="Times New Roman" w:cs="Times New Roman"/>
          <w:b/>
          <w:bCs/>
          <w:sz w:val="24"/>
          <w:szCs w:val="24"/>
        </w:rPr>
        <w:t>Disposal of Pyrophoric Reagents</w:t>
      </w:r>
    </w:p>
    <w:p w:rsidR="00731666" w:rsidRPr="00731666" w:rsidRDefault="00731666" w:rsidP="00731666">
      <w:pPr>
        <w:pStyle w:val="ListParagraph"/>
        <w:numPr>
          <w:ilvl w:val="0"/>
          <w:numId w:val="39"/>
        </w:numPr>
        <w:spacing w:before="20" w:after="20" w:line="240" w:lineRule="auto"/>
        <w:rPr>
          <w:rFonts w:ascii="Times New Roman" w:hAnsi="Times New Roman"/>
          <w:bCs/>
          <w:sz w:val="24"/>
          <w:szCs w:val="24"/>
        </w:rPr>
      </w:pPr>
      <w:r w:rsidRPr="00731666">
        <w:rPr>
          <w:rFonts w:ascii="Times New Roman" w:hAnsi="Times New Roman"/>
          <w:bCs/>
          <w:sz w:val="24"/>
          <w:szCs w:val="24"/>
        </w:rPr>
        <w:t>Never leave a container with a residue of a pyrophoric material open to the atmosphere.</w:t>
      </w:r>
    </w:p>
    <w:p w:rsidR="00731666" w:rsidRPr="00731666" w:rsidRDefault="00731666" w:rsidP="00731666">
      <w:pPr>
        <w:pStyle w:val="ListParagraph"/>
        <w:numPr>
          <w:ilvl w:val="0"/>
          <w:numId w:val="39"/>
        </w:numPr>
        <w:spacing w:before="20" w:after="20" w:line="240" w:lineRule="auto"/>
        <w:rPr>
          <w:rFonts w:ascii="Times New Roman" w:hAnsi="Times New Roman"/>
          <w:bCs/>
          <w:sz w:val="24"/>
          <w:szCs w:val="24"/>
        </w:rPr>
      </w:pPr>
      <w:r w:rsidRPr="00731666">
        <w:rPr>
          <w:rFonts w:ascii="Times New Roman" w:hAnsi="Times New Roman"/>
          <w:bCs/>
          <w:sz w:val="24"/>
          <w:szCs w:val="24"/>
        </w:rPr>
        <w:t xml:space="preserve">Any unused or unwanted pyrophoric materials must be destroyed by following the specific destruction procedure(s) included in your “Hazardous Operation SOP – Quenching of Pyrophoric Materials”. </w:t>
      </w:r>
    </w:p>
    <w:p w:rsidR="00731666" w:rsidRPr="00731666" w:rsidRDefault="00731666" w:rsidP="00731666">
      <w:pPr>
        <w:pStyle w:val="ListParagraph"/>
        <w:numPr>
          <w:ilvl w:val="0"/>
          <w:numId w:val="39"/>
        </w:numPr>
        <w:spacing w:before="20" w:after="20" w:line="240" w:lineRule="auto"/>
        <w:rPr>
          <w:rFonts w:ascii="Times New Roman" w:hAnsi="Times New Roman"/>
          <w:bCs/>
          <w:sz w:val="24"/>
          <w:szCs w:val="24"/>
        </w:rPr>
      </w:pPr>
      <w:r w:rsidRPr="00731666">
        <w:rPr>
          <w:rFonts w:ascii="Times New Roman" w:hAnsi="Times New Roman"/>
          <w:bCs/>
          <w:sz w:val="24"/>
          <w:szCs w:val="24"/>
        </w:rPr>
        <w:t>Waste materials generated must be treated as a hazardous waste.</w:t>
      </w:r>
    </w:p>
    <w:p w:rsidR="00731666" w:rsidRPr="00731666" w:rsidRDefault="00731666" w:rsidP="00731666">
      <w:pPr>
        <w:pStyle w:val="ListParagraph"/>
        <w:numPr>
          <w:ilvl w:val="0"/>
          <w:numId w:val="39"/>
        </w:numPr>
        <w:spacing w:before="20" w:after="20" w:line="240" w:lineRule="auto"/>
        <w:rPr>
          <w:rFonts w:ascii="Times New Roman" w:hAnsi="Times New Roman"/>
          <w:bCs/>
          <w:sz w:val="24"/>
          <w:szCs w:val="24"/>
        </w:rPr>
      </w:pPr>
      <w:r w:rsidRPr="00731666">
        <w:rPr>
          <w:rFonts w:ascii="Times New Roman" w:hAnsi="Times New Roman"/>
          <w:bCs/>
          <w:sz w:val="24"/>
          <w:szCs w:val="24"/>
        </w:rPr>
        <w:t>The empty container must be rinsed three times with a COMPATIBLE solvent; leave it open in the back of the hood overnight. The rinse solvent must be transferred in and out of the container under an inert atmosphere using the syringe or cannula technique. Solvent rinses and water rinse must be disposed of as hazardous waste.</w:t>
      </w:r>
    </w:p>
    <w:p w:rsidR="00731666" w:rsidRPr="00731666" w:rsidRDefault="00731666" w:rsidP="00731666">
      <w:pPr>
        <w:pStyle w:val="ListParagraph"/>
        <w:numPr>
          <w:ilvl w:val="0"/>
          <w:numId w:val="39"/>
        </w:numPr>
        <w:spacing w:before="20" w:after="20" w:line="240" w:lineRule="auto"/>
        <w:rPr>
          <w:rFonts w:ascii="Times New Roman" w:hAnsi="Times New Roman"/>
          <w:bCs/>
          <w:sz w:val="24"/>
          <w:szCs w:val="24"/>
        </w:rPr>
      </w:pPr>
      <w:r w:rsidRPr="00731666">
        <w:rPr>
          <w:rFonts w:ascii="Times New Roman" w:hAnsi="Times New Roman"/>
          <w:bCs/>
          <w:sz w:val="24"/>
          <w:szCs w:val="24"/>
        </w:rPr>
        <w:t>Do not mix with incompatible waste streams.</w:t>
      </w:r>
    </w:p>
    <w:p w:rsidR="00283C20" w:rsidRPr="00731666" w:rsidRDefault="00731666" w:rsidP="00731666">
      <w:pPr>
        <w:pStyle w:val="ListParagraph"/>
        <w:numPr>
          <w:ilvl w:val="0"/>
          <w:numId w:val="39"/>
        </w:numPr>
        <w:spacing w:before="20" w:after="20" w:line="240" w:lineRule="auto"/>
        <w:rPr>
          <w:rFonts w:ascii="Times New Roman" w:hAnsi="Times New Roman"/>
          <w:bCs/>
          <w:sz w:val="24"/>
          <w:szCs w:val="24"/>
        </w:rPr>
      </w:pPr>
      <w:r w:rsidRPr="00731666">
        <w:rPr>
          <w:rFonts w:ascii="Times New Roman" w:hAnsi="Times New Roman"/>
          <w:bCs/>
          <w:sz w:val="24"/>
          <w:szCs w:val="24"/>
        </w:rPr>
        <w:t>Decontamination of containers in order to use them for other purposes is not permitted.</w:t>
      </w:r>
    </w:p>
    <w:p w:rsidR="00731666" w:rsidRDefault="00731666" w:rsidP="00283C20">
      <w:pPr>
        <w:spacing w:before="20" w:after="20" w:line="240" w:lineRule="auto"/>
        <w:rPr>
          <w:rFonts w:ascii="Times New Roman" w:hAnsi="Times New Roman" w:cs="Times New Roman"/>
          <w:b/>
          <w:sz w:val="24"/>
          <w:szCs w:val="24"/>
        </w:rPr>
      </w:pPr>
    </w:p>
    <w:p w:rsidR="00076545" w:rsidRPr="00BB13A3" w:rsidRDefault="00076545" w:rsidP="00283C20">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0"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1"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2"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any references useful to employees]</w:t>
      </w:r>
    </w:p>
    <w:p w:rsidR="00B92038" w:rsidRDefault="00B92038" w:rsidP="00B92038">
      <w:pPr>
        <w:spacing w:line="240" w:lineRule="auto"/>
        <w:rPr>
          <w:rFonts w:ascii="Times New Roman" w:hAnsi="Times New Roman" w:cs="Times New Roman"/>
          <w:sz w:val="24"/>
          <w:szCs w:val="24"/>
        </w:rPr>
      </w:pPr>
      <w:hyperlink r:id="rId13" w:history="1">
        <w:r>
          <w:rPr>
            <w:rStyle w:val="Hyperlink"/>
            <w:rFonts w:ascii="Times New Roman" w:hAnsi="Times New Roman" w:cs="Times New Roman"/>
            <w:sz w:val="24"/>
            <w:szCs w:val="24"/>
          </w:rPr>
          <w:t>Sigma-Aldrich Technical Bulletin AL-134</w:t>
        </w:r>
      </w:hyperlink>
      <w:r>
        <w:rPr>
          <w:rFonts w:ascii="Times New Roman" w:hAnsi="Times New Roman" w:cs="Times New Roman"/>
          <w:sz w:val="24"/>
          <w:szCs w:val="24"/>
        </w:rPr>
        <w:t xml:space="preserve"> – Handling Air-Sensitive Reagents </w:t>
      </w:r>
    </w:p>
    <w:p w:rsidR="00B92038" w:rsidRDefault="00B92038" w:rsidP="00B92038">
      <w:pPr>
        <w:spacing w:line="240" w:lineRule="auto"/>
        <w:rPr>
          <w:rFonts w:ascii="Times New Roman" w:hAnsi="Times New Roman" w:cs="Times New Roman"/>
          <w:sz w:val="24"/>
          <w:szCs w:val="24"/>
        </w:rPr>
      </w:pPr>
      <w:hyperlink r:id="rId14" w:history="1">
        <w:r>
          <w:rPr>
            <w:rStyle w:val="Hyperlink"/>
            <w:rFonts w:ascii="Times New Roman" w:hAnsi="Times New Roman" w:cs="Times New Roman"/>
            <w:sz w:val="24"/>
            <w:szCs w:val="24"/>
          </w:rPr>
          <w:t>Sigma-Aldrich Technical Bulletin AL-164</w:t>
        </w:r>
      </w:hyperlink>
      <w:r>
        <w:rPr>
          <w:rFonts w:ascii="Times New Roman" w:hAnsi="Times New Roman" w:cs="Times New Roman"/>
          <w:sz w:val="24"/>
          <w:szCs w:val="24"/>
        </w:rPr>
        <w:t xml:space="preserve"> – Handling Pyrophoric Reagents </w:t>
      </w:r>
    </w:p>
    <w:p w:rsidR="00B92038" w:rsidRDefault="00B92038" w:rsidP="00B92038">
      <w:pPr>
        <w:spacing w:line="240" w:lineRule="auto"/>
        <w:rPr>
          <w:rFonts w:ascii="Times New Roman" w:hAnsi="Times New Roman" w:cs="Times New Roman"/>
          <w:sz w:val="24"/>
          <w:szCs w:val="24"/>
        </w:rPr>
      </w:pPr>
      <w:r>
        <w:rPr>
          <w:rFonts w:ascii="Times New Roman" w:hAnsi="Times New Roman" w:cs="Times New Roman"/>
          <w:sz w:val="24"/>
          <w:szCs w:val="24"/>
        </w:rPr>
        <w:t>University of Minnesota, Environmental Health and Safety – “</w:t>
      </w:r>
      <w:hyperlink r:id="rId15" w:history="1">
        <w:r>
          <w:rPr>
            <w:rStyle w:val="Hyperlink"/>
            <w:rFonts w:ascii="Times New Roman" w:hAnsi="Times New Roman" w:cs="Times New Roman"/>
            <w:sz w:val="24"/>
            <w:szCs w:val="24"/>
          </w:rPr>
          <w:t>Pyrophoric Chemicals Guide</w:t>
        </w:r>
      </w:hyperlink>
      <w:r>
        <w:rPr>
          <w:rFonts w:ascii="Times New Roman" w:hAnsi="Times New Roman" w:cs="Times New Roman"/>
          <w:sz w:val="24"/>
          <w:szCs w:val="24"/>
        </w:rPr>
        <w:t xml:space="preserve">” </w:t>
      </w:r>
    </w:p>
    <w:p w:rsidR="00B92038" w:rsidRDefault="00B92038" w:rsidP="00B92038">
      <w:pPr>
        <w:spacing w:line="240" w:lineRule="auto"/>
        <w:rPr>
          <w:rFonts w:ascii="Times New Roman" w:hAnsi="Times New Roman" w:cs="Times New Roman"/>
          <w:sz w:val="24"/>
          <w:szCs w:val="24"/>
        </w:rPr>
      </w:pPr>
      <w:r>
        <w:rPr>
          <w:rFonts w:ascii="Times New Roman" w:hAnsi="Times New Roman" w:cs="Times New Roman"/>
          <w:sz w:val="24"/>
          <w:szCs w:val="24"/>
        </w:rPr>
        <w:t xml:space="preserve">UCLA, Environmental Health and Safety – </w:t>
      </w:r>
      <w:hyperlink r:id="rId16" w:history="1">
        <w:r>
          <w:rPr>
            <w:rStyle w:val="Hyperlink"/>
            <w:rFonts w:ascii="Times New Roman" w:hAnsi="Times New Roman" w:cs="Times New Roman"/>
            <w:sz w:val="24"/>
            <w:szCs w:val="24"/>
          </w:rPr>
          <w:t>“Pyrophoric Liquid Safety Video”</w:t>
        </w:r>
      </w:hyperlink>
    </w:p>
    <w:p w:rsidR="00B92038" w:rsidRDefault="00B92038" w:rsidP="00B92038">
      <w:pPr>
        <w:spacing w:line="240" w:lineRule="auto"/>
        <w:rPr>
          <w:rFonts w:ascii="Times New Roman" w:hAnsi="Times New Roman" w:cs="Times New Roman"/>
          <w:sz w:val="24"/>
          <w:szCs w:val="24"/>
        </w:rPr>
      </w:pPr>
      <w:r>
        <w:rPr>
          <w:rFonts w:ascii="Times New Roman" w:hAnsi="Times New Roman" w:cs="Times New Roman"/>
          <w:sz w:val="24"/>
          <w:szCs w:val="24"/>
        </w:rPr>
        <w:t xml:space="preserve">University of Mass Amherst – </w:t>
      </w:r>
      <w:hyperlink r:id="rId17" w:history="1">
        <w:r>
          <w:rPr>
            <w:rStyle w:val="Hyperlink"/>
            <w:rFonts w:ascii="Times New Roman" w:hAnsi="Times New Roman" w:cs="Times New Roman"/>
            <w:sz w:val="24"/>
            <w:szCs w:val="24"/>
          </w:rPr>
          <w:t>SOP Pyrophoric Liquids and Solids</w:t>
        </w:r>
      </w:hyperlink>
    </w:p>
    <w:p w:rsidR="00B92038" w:rsidRDefault="00B92038" w:rsidP="00B92038">
      <w:pPr>
        <w:spacing w:line="240" w:lineRule="auto"/>
        <w:rPr>
          <w:rFonts w:ascii="Times New Roman" w:hAnsi="Times New Roman" w:cs="Times New Roman"/>
          <w:sz w:val="24"/>
          <w:szCs w:val="24"/>
        </w:rPr>
      </w:pPr>
      <w:hyperlink r:id="rId18" w:tgtFrame="_blank" w:history="1">
        <w:r>
          <w:rPr>
            <w:rStyle w:val="Hyperlink"/>
            <w:rFonts w:ascii="Times New Roman" w:hAnsi="Times New Roman" w:cs="Times New Roman"/>
            <w:sz w:val="24"/>
            <w:szCs w:val="24"/>
          </w:rPr>
          <w:t>UCSD - Transferring Pyrophoric Chemicals Video</w:t>
        </w:r>
      </w:hyperlink>
    </w:p>
    <w:p w:rsidR="00B92038" w:rsidRDefault="00B92038" w:rsidP="00B92038">
      <w:pPr>
        <w:spacing w:line="240" w:lineRule="auto"/>
        <w:rPr>
          <w:rFonts w:ascii="Times New Roman" w:hAnsi="Times New Roman" w:cs="Times New Roman"/>
          <w:sz w:val="24"/>
          <w:szCs w:val="24"/>
        </w:rPr>
      </w:pPr>
      <w:hyperlink r:id="rId19" w:tgtFrame="_blank" w:history="1">
        <w:r>
          <w:rPr>
            <w:rStyle w:val="Hyperlink"/>
            <w:rFonts w:ascii="Times New Roman" w:hAnsi="Times New Roman" w:cs="Times New Roman"/>
            <w:sz w:val="24"/>
            <w:szCs w:val="24"/>
          </w:rPr>
          <w:t>UCSD - Working with Pyrophoric Reagents Video Part 1</w:t>
        </w:r>
      </w:hyperlink>
    </w:p>
    <w:p w:rsidR="0002145A" w:rsidRDefault="0002145A" w:rsidP="0002145A">
      <w:pPr>
        <w:pStyle w:val="ListParagraph"/>
        <w:numPr>
          <w:ilvl w:val="0"/>
          <w:numId w:val="13"/>
        </w:numPr>
        <w:spacing w:line="240" w:lineRule="auto"/>
        <w:rPr>
          <w:rFonts w:ascii="Times New Roman" w:hAnsi="Times New Roman"/>
          <w:b/>
          <w:sz w:val="24"/>
          <w:szCs w:val="24"/>
          <w:u w:val="single"/>
        </w:rPr>
      </w:pPr>
      <w:bookmarkStart w:id="0" w:name="_GoBack"/>
      <w:bookmarkEnd w:id="0"/>
      <w:r w:rsidRPr="0002145A">
        <w:rPr>
          <w:rFonts w:ascii="Times New Roman" w:hAnsi="Times New Roman"/>
          <w:b/>
          <w:sz w:val="24"/>
          <w:szCs w:val="24"/>
          <w:u w:val="single"/>
        </w:rPr>
        <w:t xml:space="preserve">Protocol/Procedure for: Quenching of </w:t>
      </w:r>
      <w:r w:rsidR="00CF196C">
        <w:rPr>
          <w:rFonts w:ascii="Times New Roman" w:hAnsi="Times New Roman"/>
          <w:b/>
          <w:sz w:val="24"/>
          <w:szCs w:val="24"/>
          <w:u w:val="single"/>
        </w:rPr>
        <w:t xml:space="preserve">Water Reactive </w:t>
      </w:r>
      <w:r w:rsidRPr="0002145A">
        <w:rPr>
          <w:rFonts w:ascii="Times New Roman" w:hAnsi="Times New Roman"/>
          <w:b/>
          <w:sz w:val="24"/>
          <w:szCs w:val="24"/>
          <w:u w:val="single"/>
        </w:rPr>
        <w:t>Materials</w:t>
      </w:r>
    </w:p>
    <w:p w:rsidR="00731666" w:rsidRDefault="00731666" w:rsidP="00731666">
      <w:pPr>
        <w:spacing w:line="240" w:lineRule="auto"/>
        <w:rPr>
          <w:rFonts w:ascii="Times New Roman" w:hAnsi="Times New Roman"/>
          <w:b/>
          <w:sz w:val="24"/>
          <w:szCs w:val="24"/>
          <w:u w:val="single"/>
        </w:rPr>
      </w:pPr>
      <w:r>
        <w:rPr>
          <w:rFonts w:ascii="Times New Roman" w:hAnsi="Times New Roman"/>
          <w:b/>
          <w:sz w:val="24"/>
          <w:szCs w:val="24"/>
          <w:u w:val="single"/>
        </w:rPr>
        <w:t>Preparation</w:t>
      </w:r>
    </w:p>
    <w:p w:rsidR="00731666" w:rsidRPr="00731666" w:rsidRDefault="00731666" w:rsidP="00731666">
      <w:pPr>
        <w:spacing w:line="240" w:lineRule="auto"/>
        <w:rPr>
          <w:rFonts w:ascii="Times New Roman" w:hAnsi="Times New Roman"/>
          <w:sz w:val="24"/>
          <w:szCs w:val="24"/>
        </w:rPr>
      </w:pPr>
      <w:r>
        <w:rPr>
          <w:rFonts w:ascii="Times New Roman" w:hAnsi="Times New Roman"/>
          <w:i/>
          <w:iCs/>
          <w:sz w:val="24"/>
          <w:szCs w:val="24"/>
        </w:rPr>
        <w:t>[</w:t>
      </w:r>
      <w:r w:rsidRPr="00731666">
        <w:rPr>
          <w:rFonts w:ascii="Times New Roman" w:hAnsi="Times New Roman"/>
          <w:i/>
          <w:iCs/>
          <w:sz w:val="24"/>
          <w:szCs w:val="24"/>
          <w:highlight w:val="yellow"/>
        </w:rPr>
        <w:t>List any other particular preparation requirements needs for this procedure (e.g., location of spill kit or keep water or ignition sources away from procedure area</w:t>
      </w:r>
      <w:r>
        <w:rPr>
          <w:rFonts w:ascii="Times New Roman" w:hAnsi="Times New Roman"/>
          <w:i/>
          <w:iCs/>
          <w:sz w:val="24"/>
          <w:szCs w:val="24"/>
        </w:rPr>
        <w:t>]</w:t>
      </w:r>
      <w:r w:rsidRPr="00731666">
        <w:rPr>
          <w:rFonts w:ascii="Times New Roman" w:hAnsi="Times New Roman"/>
          <w:i/>
          <w:iCs/>
          <w:sz w:val="24"/>
          <w:szCs w:val="24"/>
        </w:rPr>
        <w:t xml:space="preserve"> </w:t>
      </w:r>
    </w:p>
    <w:p w:rsidR="00731666" w:rsidRPr="00731666" w:rsidRDefault="00731666" w:rsidP="00731666">
      <w:pPr>
        <w:numPr>
          <w:ilvl w:val="0"/>
          <w:numId w:val="37"/>
        </w:numPr>
        <w:spacing w:line="240" w:lineRule="auto"/>
        <w:rPr>
          <w:rFonts w:ascii="Times New Roman" w:hAnsi="Times New Roman"/>
          <w:sz w:val="24"/>
          <w:szCs w:val="24"/>
        </w:rPr>
      </w:pPr>
      <w:r w:rsidRPr="00731666">
        <w:rPr>
          <w:rFonts w:ascii="Times New Roman" w:hAnsi="Times New Roman"/>
          <w:sz w:val="24"/>
          <w:szCs w:val="24"/>
        </w:rPr>
        <w:t xml:space="preserve">Know the location of the nearest fire extinguisher, eyewash, and safety shower before beginning work. </w:t>
      </w:r>
    </w:p>
    <w:p w:rsidR="00731666" w:rsidRPr="00731666" w:rsidRDefault="00731666" w:rsidP="00731666">
      <w:pPr>
        <w:numPr>
          <w:ilvl w:val="0"/>
          <w:numId w:val="37"/>
        </w:numPr>
        <w:spacing w:line="240" w:lineRule="auto"/>
        <w:rPr>
          <w:rFonts w:ascii="Times New Roman" w:hAnsi="Times New Roman"/>
          <w:sz w:val="24"/>
          <w:szCs w:val="24"/>
        </w:rPr>
      </w:pPr>
      <w:r w:rsidRPr="00731666">
        <w:rPr>
          <w:rFonts w:ascii="Times New Roman" w:hAnsi="Times New Roman"/>
          <w:sz w:val="24"/>
          <w:szCs w:val="24"/>
        </w:rPr>
        <w:t xml:space="preserve">Have a small can of Met-L-X or dry sand in the work area, within arm’s reach. </w:t>
      </w:r>
    </w:p>
    <w:p w:rsidR="00731666" w:rsidRPr="00731666" w:rsidRDefault="00731666" w:rsidP="00731666">
      <w:pPr>
        <w:numPr>
          <w:ilvl w:val="0"/>
          <w:numId w:val="37"/>
        </w:numPr>
        <w:spacing w:line="240" w:lineRule="auto"/>
        <w:rPr>
          <w:rFonts w:ascii="Times New Roman" w:hAnsi="Times New Roman"/>
          <w:sz w:val="24"/>
          <w:szCs w:val="24"/>
        </w:rPr>
      </w:pPr>
      <w:r w:rsidRPr="00731666">
        <w:rPr>
          <w:rFonts w:ascii="Times New Roman" w:hAnsi="Times New Roman"/>
          <w:sz w:val="24"/>
          <w:szCs w:val="24"/>
        </w:rPr>
        <w:t xml:space="preserve">Solvents must be dry. </w:t>
      </w:r>
    </w:p>
    <w:p w:rsidR="00731666" w:rsidRPr="00731666" w:rsidRDefault="00731666" w:rsidP="00731666">
      <w:pPr>
        <w:numPr>
          <w:ilvl w:val="0"/>
          <w:numId w:val="37"/>
        </w:numPr>
        <w:spacing w:line="240" w:lineRule="auto"/>
        <w:rPr>
          <w:rFonts w:ascii="Times New Roman" w:hAnsi="Times New Roman"/>
          <w:sz w:val="24"/>
          <w:szCs w:val="24"/>
        </w:rPr>
      </w:pPr>
      <w:r w:rsidRPr="00731666">
        <w:rPr>
          <w:rFonts w:ascii="Times New Roman" w:hAnsi="Times New Roman"/>
          <w:sz w:val="24"/>
          <w:szCs w:val="24"/>
        </w:rPr>
        <w:t xml:space="preserve">Glassware must be dry before using. Either “flame” dry or dry in an oven at a minimum temperature of 100° C for at least two hours. </w:t>
      </w:r>
    </w:p>
    <w:p w:rsidR="00731666" w:rsidRPr="00731666" w:rsidRDefault="00731666" w:rsidP="00731666">
      <w:pPr>
        <w:numPr>
          <w:ilvl w:val="0"/>
          <w:numId w:val="37"/>
        </w:numPr>
        <w:spacing w:line="240" w:lineRule="auto"/>
        <w:rPr>
          <w:rFonts w:ascii="Times New Roman" w:hAnsi="Times New Roman"/>
          <w:sz w:val="24"/>
          <w:szCs w:val="24"/>
        </w:rPr>
      </w:pPr>
      <w:r w:rsidRPr="00731666">
        <w:rPr>
          <w:rFonts w:ascii="Times New Roman" w:hAnsi="Times New Roman"/>
          <w:sz w:val="24"/>
          <w:szCs w:val="24"/>
        </w:rPr>
        <w:lastRenderedPageBreak/>
        <w:t xml:space="preserve">Remove all other flammable/combustibles materials from the hood to reduce the hazard in case of a fire. Make adjacent lab workers aware that you will be working with pyrophoric chemicals. </w:t>
      </w:r>
    </w:p>
    <w:p w:rsidR="0002145A" w:rsidRPr="008D5454" w:rsidRDefault="0002145A" w:rsidP="0002145A">
      <w:pPr>
        <w:spacing w:line="240" w:lineRule="auto"/>
        <w:rPr>
          <w:rFonts w:ascii="Times New Roman" w:hAnsi="Times New Roman"/>
          <w:b/>
          <w:sz w:val="24"/>
          <w:szCs w:val="24"/>
          <w:u w:val="single"/>
        </w:rPr>
      </w:pPr>
      <w:r w:rsidRPr="008D5454">
        <w:rPr>
          <w:rFonts w:ascii="Times New Roman" w:hAnsi="Times New Roman"/>
          <w:b/>
          <w:sz w:val="24"/>
          <w:szCs w:val="24"/>
          <w:u w:val="single"/>
        </w:rPr>
        <w:t xml:space="preserve">Quenching of pyrophoric liquids, such as, but not limited </w:t>
      </w:r>
      <w:proofErr w:type="spellStart"/>
      <w:r w:rsidRPr="008D5454">
        <w:rPr>
          <w:rFonts w:ascii="Times New Roman" w:hAnsi="Times New Roman"/>
          <w:b/>
          <w:sz w:val="24"/>
          <w:szCs w:val="24"/>
          <w:u w:val="single"/>
        </w:rPr>
        <w:t>to</w:t>
      </w:r>
      <w:proofErr w:type="gramStart"/>
      <w:r w:rsidRPr="008D5454">
        <w:rPr>
          <w:rFonts w:ascii="Times New Roman" w:hAnsi="Times New Roman"/>
          <w:b/>
          <w:sz w:val="24"/>
          <w:szCs w:val="24"/>
          <w:u w:val="single"/>
        </w:rPr>
        <w:t>,sec</w:t>
      </w:r>
      <w:proofErr w:type="gramEnd"/>
      <w:r w:rsidRPr="008D5454">
        <w:rPr>
          <w:rFonts w:ascii="Times New Roman" w:hAnsi="Times New Roman"/>
          <w:b/>
          <w:sz w:val="24"/>
          <w:szCs w:val="24"/>
          <w:u w:val="single"/>
        </w:rPr>
        <w:t>-BuLi</w:t>
      </w:r>
      <w:proofErr w:type="spellEnd"/>
      <w:r w:rsidRPr="008D5454">
        <w:rPr>
          <w:rFonts w:ascii="Times New Roman" w:hAnsi="Times New Roman"/>
          <w:b/>
          <w:sz w:val="24"/>
          <w:szCs w:val="24"/>
          <w:u w:val="single"/>
        </w:rPr>
        <w:t>, n-</w:t>
      </w:r>
      <w:proofErr w:type="spellStart"/>
      <w:r w:rsidRPr="008D5454">
        <w:rPr>
          <w:rFonts w:ascii="Times New Roman" w:hAnsi="Times New Roman"/>
          <w:b/>
          <w:sz w:val="24"/>
          <w:szCs w:val="24"/>
          <w:u w:val="single"/>
        </w:rPr>
        <w:t>BuLi</w:t>
      </w:r>
      <w:proofErr w:type="spellEnd"/>
      <w:r w:rsidRPr="008D5454">
        <w:rPr>
          <w:rFonts w:ascii="Times New Roman" w:hAnsi="Times New Roman"/>
          <w:b/>
          <w:sz w:val="24"/>
          <w:szCs w:val="24"/>
          <w:u w:val="single"/>
        </w:rPr>
        <w:t>, Grignard reagents, remaining in bottle or left after reactions</w:t>
      </w:r>
    </w:p>
    <w:p w:rsidR="0002145A" w:rsidRPr="0002145A" w:rsidRDefault="00731666" w:rsidP="0002145A">
      <w:pPr>
        <w:spacing w:line="240" w:lineRule="auto"/>
        <w:rPr>
          <w:rFonts w:ascii="Times New Roman" w:hAnsi="Times New Roman"/>
          <w:sz w:val="24"/>
          <w:szCs w:val="24"/>
          <w:u w:val="single"/>
        </w:rPr>
      </w:pPr>
      <w:r w:rsidRPr="00731666">
        <w:rPr>
          <w:rFonts w:ascii="Times New Roman" w:hAnsi="Times New Roman"/>
          <w:sz w:val="24"/>
          <w:szCs w:val="24"/>
        </w:rPr>
        <w:t xml:space="preserve">Up to 500 mL of pyrophoric materials in carrier solvent. Quenching of pyrophoric materials in amounts greater than 500 mL at a time is not permitted. </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 xml:space="preserve">Conduct in a clean fume hood with the sash closed using the </w:t>
      </w:r>
      <w:proofErr w:type="spellStart"/>
      <w:r w:rsidRPr="0002145A">
        <w:rPr>
          <w:rFonts w:ascii="Times New Roman" w:hAnsi="Times New Roman"/>
          <w:sz w:val="24"/>
          <w:szCs w:val="24"/>
        </w:rPr>
        <w:t>Schlenk</w:t>
      </w:r>
      <w:proofErr w:type="spellEnd"/>
      <w:r w:rsidRPr="0002145A">
        <w:rPr>
          <w:rFonts w:ascii="Times New Roman" w:hAnsi="Times New Roman"/>
          <w:sz w:val="24"/>
          <w:szCs w:val="24"/>
        </w:rPr>
        <w:t xml:space="preserve"> techniques, or an inert atmosphere glove box.</w:t>
      </w:r>
    </w:p>
    <w:p w:rsid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If using outside an inert atmosphere glove box, ensure the receiving vessel is dry and a blanket of inert gas is kept over the air</w:t>
      </w:r>
      <w:r>
        <w:rPr>
          <w:rFonts w:ascii="Times New Roman" w:hAnsi="Times New Roman"/>
          <w:sz w:val="24"/>
          <w:szCs w:val="24"/>
        </w:rPr>
        <w:t>-</w:t>
      </w:r>
      <w:r w:rsidRPr="0002145A">
        <w:rPr>
          <w:rFonts w:ascii="Times New Roman" w:hAnsi="Times New Roman"/>
          <w:sz w:val="24"/>
          <w:szCs w:val="24"/>
        </w:rPr>
        <w:t>sensitive chemicals.</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Note on Glassware Size: If quenching 100mL of pyrophoric solution, the pyrophoric material will be diluted in 500mL of inert solvent to start the quenching procedure (20% </w:t>
      </w:r>
      <w:proofErr w:type="spellStart"/>
      <w:r w:rsidRPr="00731666">
        <w:rPr>
          <w:rFonts w:ascii="Times New Roman" w:hAnsi="Times New Roman"/>
          <w:sz w:val="24"/>
          <w:szCs w:val="24"/>
        </w:rPr>
        <w:t>wt</w:t>
      </w:r>
      <w:proofErr w:type="spellEnd"/>
      <w:r w:rsidRPr="00731666">
        <w:rPr>
          <w:rFonts w:ascii="Times New Roman" w:hAnsi="Times New Roman"/>
          <w:sz w:val="24"/>
          <w:szCs w:val="24"/>
        </w:rPr>
        <w:t xml:space="preserve"> solution). In this case, the required size for the quenching vessel is 1L, no less. If quenching 500 mL of pyrophoric material, the required size for the quenching vessel is 2L, no less.</w:t>
      </w:r>
    </w:p>
    <w:p w:rsidR="00731666" w:rsidRDefault="00731666" w:rsidP="00731666">
      <w:pPr>
        <w:spacing w:line="240" w:lineRule="auto"/>
        <w:rPr>
          <w:rFonts w:ascii="Times New Roman" w:hAnsi="Times New Roman"/>
          <w:sz w:val="24"/>
          <w:szCs w:val="24"/>
        </w:rPr>
      </w:pPr>
      <w:r w:rsidRPr="00731666">
        <w:rPr>
          <w:rFonts w:ascii="Times New Roman" w:hAnsi="Times New Roman"/>
          <w:b/>
          <w:sz w:val="24"/>
          <w:szCs w:val="24"/>
        </w:rPr>
        <w:t xml:space="preserve">Quenching in a FUME HOOD using a </w:t>
      </w:r>
      <w:proofErr w:type="spellStart"/>
      <w:r w:rsidRPr="00731666">
        <w:rPr>
          <w:rFonts w:ascii="Times New Roman" w:hAnsi="Times New Roman"/>
          <w:b/>
          <w:sz w:val="24"/>
          <w:szCs w:val="24"/>
        </w:rPr>
        <w:t>Schlenk</w:t>
      </w:r>
      <w:proofErr w:type="spellEnd"/>
      <w:r w:rsidRPr="00731666">
        <w:rPr>
          <w:rFonts w:ascii="Times New Roman" w:hAnsi="Times New Roman"/>
          <w:b/>
          <w:sz w:val="24"/>
          <w:szCs w:val="24"/>
        </w:rPr>
        <w:t xml:space="preserve"> line</w:t>
      </w:r>
      <w:r>
        <w:rPr>
          <w:rFonts w:ascii="Times New Roman" w:hAnsi="Times New Roman"/>
          <w:sz w:val="24"/>
          <w:szCs w:val="24"/>
        </w:rPr>
        <w:t>.</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u w:val="single"/>
        </w:rPr>
        <w:t>General considerations</w:t>
      </w:r>
      <w:r w:rsidRPr="00731666">
        <w:rPr>
          <w:rFonts w:ascii="Times New Roman" w:hAnsi="Times New Roman"/>
          <w:sz w:val="24"/>
          <w:szCs w:val="24"/>
        </w:rPr>
        <w:t xml:space="preserve">: Quenching procedures usually involve the reaction of the pyrophoric material, under inert atmosphere and on an ice bath, with a reagent that has a reactive hydroxyl group. </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Any reaction or suspension containing these reagents MUST be quenched carefully!  All transfers must be done under inert atmosphere using the syringe or cannula techniques.  </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Addition of material must be done SLOWLY, under adequate stirring/mixing. </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Whenever quenching, be sure that it is not done in a sealed vessel as pressure will build up. The best situation is to have an inert gas flowing in with a small exit needle connected to a bubbler.  </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rPr>
        <w:t xml:space="preserve">If you’re quenching in a RB flask or any floating vessel in a bath, clamp it.  If the solution level is low, you can dilute it with some inert solvent such as toluene or hexane first to less than 20% wt. </w:t>
      </w:r>
    </w:p>
    <w:p w:rsidR="00731666" w:rsidRDefault="00731666" w:rsidP="00731666">
      <w:pPr>
        <w:spacing w:line="240" w:lineRule="auto"/>
        <w:rPr>
          <w:rFonts w:ascii="Times New Roman" w:hAnsi="Times New Roman"/>
          <w:sz w:val="24"/>
          <w:szCs w:val="24"/>
        </w:rPr>
      </w:pPr>
      <w:r w:rsidRPr="00731666">
        <w:rPr>
          <w:rFonts w:ascii="Times New Roman" w:hAnsi="Times New Roman"/>
          <w:sz w:val="24"/>
          <w:szCs w:val="24"/>
          <w:u w:val="single"/>
        </w:rPr>
        <w:t>Procedure</w:t>
      </w:r>
      <w:r w:rsidRPr="00731666">
        <w:rPr>
          <w:rFonts w:ascii="Times New Roman" w:hAnsi="Times New Roman"/>
          <w:sz w:val="24"/>
          <w:szCs w:val="24"/>
        </w:rPr>
        <w:t>: Transfer the diluted solution t</w:t>
      </w:r>
      <w:r>
        <w:rPr>
          <w:rFonts w:ascii="Times New Roman" w:hAnsi="Times New Roman"/>
          <w:sz w:val="24"/>
          <w:szCs w:val="24"/>
        </w:rPr>
        <w:t>o the quenching vessel, place</w:t>
      </w:r>
      <w:r w:rsidRPr="00731666">
        <w:rPr>
          <w:rFonts w:ascii="Times New Roman" w:hAnsi="Times New Roman"/>
          <w:sz w:val="24"/>
          <w:szCs w:val="24"/>
        </w:rPr>
        <w:t xml:space="preserve"> ice under the flask, and turn on the stirrer.</w:t>
      </w:r>
      <w:r>
        <w:rPr>
          <w:rFonts w:ascii="Times New Roman" w:hAnsi="Times New Roman"/>
          <w:sz w:val="24"/>
          <w:szCs w:val="24"/>
        </w:rPr>
        <w:t xml:space="preserve"> </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Before proceeding with the quenching of the pyrophoric solution, proceed with the cleaning of the empty bottle.</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The empty container should be rinsed three times with an inert dry COMPATIBLE solvent such as toluene or hexane. The rinse solvent must be transferred in and out of the container under an inert atmosphere.</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 xml:space="preserve">After the empty container is triple-rinsed, remove the </w:t>
      </w:r>
      <w:proofErr w:type="spellStart"/>
      <w:r w:rsidRPr="00731666">
        <w:rPr>
          <w:rFonts w:ascii="Times New Roman" w:hAnsi="Times New Roman"/>
          <w:sz w:val="24"/>
          <w:szCs w:val="24"/>
        </w:rPr>
        <w:t>SureSeal</w:t>
      </w:r>
      <w:proofErr w:type="spellEnd"/>
      <w:r w:rsidRPr="00731666">
        <w:rPr>
          <w:rFonts w:ascii="Times New Roman" w:hAnsi="Times New Roman"/>
          <w:sz w:val="24"/>
          <w:szCs w:val="24"/>
        </w:rPr>
        <w:t xml:space="preserve"> cap and it should be left open in </w:t>
      </w:r>
      <w:r w:rsidR="00731666">
        <w:rPr>
          <w:rFonts w:ascii="Times New Roman" w:hAnsi="Times New Roman"/>
          <w:sz w:val="24"/>
          <w:szCs w:val="24"/>
        </w:rPr>
        <w:t xml:space="preserve">the </w:t>
      </w:r>
      <w:r w:rsidRPr="00731666">
        <w:rPr>
          <w:rFonts w:ascii="Times New Roman" w:hAnsi="Times New Roman"/>
          <w:sz w:val="24"/>
          <w:szCs w:val="24"/>
        </w:rPr>
        <w:t>back of a hood overnight.</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lastRenderedPageBreak/>
        <w:t>Dispose of the solvent rinse as hazardous waste.</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Proceed with the quenching of the pyrophoric solution by adding isopropanol slowly to the quenching vessel using a syringe or an addition funnel, under adequate stirring, until no more bubbling is observed.</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Keep the solutio</w:t>
      </w:r>
      <w:r w:rsidR="00731666">
        <w:rPr>
          <w:rFonts w:ascii="Times New Roman" w:hAnsi="Times New Roman"/>
          <w:sz w:val="24"/>
          <w:szCs w:val="24"/>
        </w:rPr>
        <w:t>n cool (50</w:t>
      </w:r>
      <w:r w:rsidR="00731666">
        <w:rPr>
          <w:rFonts w:ascii="Times New Roman" w:hAnsi="Times New Roman" w:cs="Times New Roman"/>
          <w:sz w:val="24"/>
          <w:szCs w:val="24"/>
        </w:rPr>
        <w:t>°</w:t>
      </w:r>
      <w:r w:rsidRPr="00731666">
        <w:rPr>
          <w:rFonts w:ascii="Times New Roman" w:hAnsi="Times New Roman"/>
          <w:sz w:val="24"/>
          <w:szCs w:val="24"/>
        </w:rPr>
        <w:t>C or below) during the quenching process by controlling the feed rate of the alcohol.</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Once you've added the isopropanol, add the following solvents in sequence, using the same step-wise caution: ethanol, methanol, and water.</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 xml:space="preserve">Be Very Careful with the addition of water! Even after methanol has been added, the </w:t>
      </w:r>
      <w:proofErr w:type="spellStart"/>
      <w:r w:rsidRPr="00731666">
        <w:rPr>
          <w:rFonts w:ascii="Times New Roman" w:hAnsi="Times New Roman"/>
          <w:sz w:val="24"/>
          <w:szCs w:val="24"/>
        </w:rPr>
        <w:t>lithiate</w:t>
      </w:r>
      <w:proofErr w:type="spellEnd"/>
      <w:r w:rsidRPr="00731666">
        <w:rPr>
          <w:rFonts w:ascii="Times New Roman" w:hAnsi="Times New Roman"/>
          <w:sz w:val="24"/>
          <w:szCs w:val="24"/>
        </w:rPr>
        <w:t xml:space="preserve"> can still react violently with water, especially is there hasn't been sufficient mechanical stirring of the solution. Add water in small aliquots. The addition of water does not need to be conducted under an inert atmosphere. The use of a syringe (plastic or glass) is recommended.</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Once the addition of water is complete, let the solution temperature come back to room temperature while stirring.</w:t>
      </w:r>
    </w:p>
    <w:p w:rsidR="0002145A" w:rsidRPr="00731666" w:rsidRDefault="0002145A" w:rsidP="00731666">
      <w:pPr>
        <w:spacing w:line="240" w:lineRule="auto"/>
        <w:rPr>
          <w:rFonts w:ascii="Times New Roman" w:hAnsi="Times New Roman"/>
          <w:sz w:val="24"/>
          <w:szCs w:val="24"/>
        </w:rPr>
      </w:pPr>
      <w:r w:rsidRPr="00731666">
        <w:rPr>
          <w:rFonts w:ascii="Times New Roman" w:hAnsi="Times New Roman"/>
          <w:sz w:val="24"/>
          <w:szCs w:val="24"/>
        </w:rPr>
        <w:t>Stir for an additional 2 hours before disposing of the aqueous organic waste.</w:t>
      </w:r>
    </w:p>
    <w:p w:rsidR="0002145A" w:rsidRPr="0002145A" w:rsidRDefault="0002145A" w:rsidP="0002145A">
      <w:pPr>
        <w:spacing w:line="240" w:lineRule="auto"/>
        <w:rPr>
          <w:rFonts w:ascii="Times New Roman" w:hAnsi="Times New Roman"/>
          <w:sz w:val="24"/>
          <w:szCs w:val="24"/>
          <w:u w:val="single"/>
        </w:rPr>
      </w:pPr>
      <w:r w:rsidRPr="0002145A">
        <w:rPr>
          <w:rFonts w:ascii="Times New Roman" w:hAnsi="Times New Roman"/>
          <w:sz w:val="24"/>
          <w:szCs w:val="24"/>
          <w:u w:val="single"/>
        </w:rPr>
        <w:t>- If quenching in a FUME HOOD using dry ice -</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Place dry ice in a container and add a stir bar. Pyrophoric liquids in this section can be quenched by slowly adding the dilute solution directly onto dry ice, then adding a mildly reactive quenching agent such as methanol. Once the addition of the dilute solution is complete, let the solution temperature come back to room temperature under stirring.</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Stir for an additional 2 hours before disposing of the aqueous organic waste.</w:t>
      </w:r>
    </w:p>
    <w:p w:rsidR="0002145A" w:rsidRPr="0002145A" w:rsidRDefault="0002145A" w:rsidP="0002145A">
      <w:pPr>
        <w:spacing w:line="240" w:lineRule="auto"/>
        <w:rPr>
          <w:rFonts w:ascii="Times New Roman" w:hAnsi="Times New Roman"/>
          <w:sz w:val="24"/>
          <w:szCs w:val="24"/>
          <w:u w:val="single"/>
        </w:rPr>
      </w:pPr>
      <w:r w:rsidRPr="0002145A">
        <w:rPr>
          <w:rFonts w:ascii="Times New Roman" w:hAnsi="Times New Roman"/>
          <w:sz w:val="24"/>
          <w:szCs w:val="24"/>
          <w:u w:val="single"/>
        </w:rPr>
        <w:t>- If quenching in a GLOVE BOX -</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General considerations:</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Any reaction or suspension containing these reagents MUST be quenched carefully! Addition of solvents should be done SLOWLY with adequate stirring/mixing.</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If the glove box is equipped with a fridge, DO NOT open the fridge during the quenching process.</w:t>
      </w:r>
    </w:p>
    <w:p w:rsidR="0002145A" w:rsidRPr="0002145A" w:rsidRDefault="0002145A" w:rsidP="0002145A">
      <w:pPr>
        <w:spacing w:line="240" w:lineRule="auto"/>
        <w:rPr>
          <w:rFonts w:ascii="Times New Roman" w:hAnsi="Times New Roman"/>
          <w:sz w:val="24"/>
          <w:szCs w:val="24"/>
        </w:rPr>
      </w:pPr>
      <w:r w:rsidRPr="0002145A">
        <w:rPr>
          <w:rFonts w:ascii="Times New Roman" w:hAnsi="Times New Roman"/>
          <w:sz w:val="24"/>
          <w:szCs w:val="24"/>
        </w:rPr>
        <w:t>Procedure:</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Turn OFF the glove box circulation.</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Remove bottle or reaction vessel cap and add a stirrer if necessary.</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Typically, a solution of less than 20%wt of pyrophoric in an inert solvent (such as dry and degassed hexane or heptane) is created, followed by the slow addition of dry and degassed isopropanol, under adequate stirring until no more bubbling is observed.</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Place a cap on the quenching vessel and put the bottle/vessel in a zip-top bag before taking it out of the glove box.</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lastRenderedPageBreak/>
        <w:t>Move the quenching vessel to a clean fume hood. Always place the quenching vessel in a secondary container for transfer to the fume hood.</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Purge the glove box for 20-30 minutes.</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Continue the quenching procedure in a clean fume hood with sash closed.</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Under adequate stirring, add water SLOWLY to the quenching solution until no more bubbling is observed. This step does not need to be conducted under an inert atmosphere. The use of a syringe (plastic or glass) is recommended.</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 xml:space="preserve">Be Very Careful with the addition of WATER! Even after isopropanol has been added, the </w:t>
      </w:r>
      <w:proofErr w:type="spellStart"/>
      <w:r w:rsidRPr="0002145A">
        <w:rPr>
          <w:rFonts w:ascii="Times New Roman" w:hAnsi="Times New Roman"/>
          <w:sz w:val="24"/>
          <w:szCs w:val="24"/>
        </w:rPr>
        <w:t>lithiate</w:t>
      </w:r>
      <w:proofErr w:type="spellEnd"/>
      <w:r w:rsidRPr="0002145A">
        <w:rPr>
          <w:rFonts w:ascii="Times New Roman" w:hAnsi="Times New Roman"/>
          <w:sz w:val="24"/>
          <w:szCs w:val="24"/>
        </w:rPr>
        <w:t xml:space="preserve"> can still react violently with water, especially is there hasn't been sufficient mechanical stirring of the solution. Therefore the water should be added in small aliquots.</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Once the addition of water is complete, stir for an additional 2 hours before disposing of the aqueous organic waste.</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The empty container should be rinsed three times with an inert dry COMPATIBLE solvent such as toluene or hexane.</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 xml:space="preserve">After the empty container is triple-rinsed, it should be left open in </w:t>
      </w:r>
      <w:r w:rsidR="00731666">
        <w:rPr>
          <w:rFonts w:ascii="Times New Roman" w:hAnsi="Times New Roman"/>
          <w:sz w:val="24"/>
          <w:szCs w:val="24"/>
        </w:rPr>
        <w:t xml:space="preserve">the </w:t>
      </w:r>
      <w:r w:rsidRPr="0002145A">
        <w:rPr>
          <w:rFonts w:ascii="Times New Roman" w:hAnsi="Times New Roman"/>
          <w:sz w:val="24"/>
          <w:szCs w:val="24"/>
        </w:rPr>
        <w:t>back of a hood overnight.</w:t>
      </w:r>
    </w:p>
    <w:p w:rsidR="0002145A" w:rsidRPr="0002145A" w:rsidRDefault="0002145A" w:rsidP="0002145A">
      <w:pPr>
        <w:pStyle w:val="ListParagraph"/>
        <w:numPr>
          <w:ilvl w:val="0"/>
          <w:numId w:val="31"/>
        </w:numPr>
        <w:spacing w:line="240" w:lineRule="auto"/>
        <w:rPr>
          <w:rFonts w:ascii="Times New Roman" w:hAnsi="Times New Roman"/>
          <w:sz w:val="24"/>
          <w:szCs w:val="24"/>
        </w:rPr>
      </w:pPr>
      <w:r w:rsidRPr="0002145A">
        <w:rPr>
          <w:rFonts w:ascii="Times New Roman" w:hAnsi="Times New Roman"/>
          <w:sz w:val="24"/>
          <w:szCs w:val="24"/>
        </w:rPr>
        <w:t>Solvent rinses should be disposed of as hazardous waste.</w:t>
      </w:r>
    </w:p>
    <w:p w:rsidR="008D5454" w:rsidRPr="008D5454" w:rsidRDefault="008D5454" w:rsidP="008D5454">
      <w:pPr>
        <w:pStyle w:val="ListParagraph"/>
        <w:spacing w:line="240" w:lineRule="auto"/>
        <w:rPr>
          <w:rFonts w:ascii="Times New Roman" w:hAnsi="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5B5E45" w:rsidRPr="005625FA" w:rsidRDefault="005625FA" w:rsidP="005625FA">
      <w:pPr>
        <w:spacing w:line="240" w:lineRule="auto"/>
        <w:rPr>
          <w:rFonts w:ascii="Times New Roman" w:hAnsi="Times New Roman" w:cs="Times New Roman"/>
          <w:sz w:val="24"/>
          <w:szCs w:val="24"/>
        </w:rPr>
      </w:pPr>
      <w:r w:rsidRPr="005625FA">
        <w:rPr>
          <w:rFonts w:ascii="Times New Roman" w:hAnsi="Times New Roman" w:cs="Times New Roman"/>
          <w:sz w:val="24"/>
          <w:szCs w:val="24"/>
        </w:rPr>
        <w:t xml:space="preserve">Before working with </w:t>
      </w:r>
      <w:r w:rsidR="0002145A">
        <w:rPr>
          <w:rFonts w:ascii="Times New Roman" w:hAnsi="Times New Roman" w:cs="Times New Roman"/>
          <w:sz w:val="24"/>
          <w:szCs w:val="24"/>
        </w:rPr>
        <w:t>quenching</w:t>
      </w:r>
      <w:r w:rsidRPr="005625FA">
        <w:rPr>
          <w:rFonts w:ascii="Times New Roman" w:hAnsi="Times New Roman" w:cs="Times New Roman"/>
          <w:sz w:val="24"/>
          <w:szCs w:val="24"/>
        </w:rPr>
        <w:t xml:space="preserve">, the lab worker must have the approval of the designated person who shall provide specific training according to this SOP and in understanding the MSDS provided by the manufacturer.  The lab worker must complete EH&amp;S Laboratory </w:t>
      </w:r>
      <w:r>
        <w:rPr>
          <w:rFonts w:ascii="Times New Roman" w:hAnsi="Times New Roman" w:cs="Times New Roman"/>
          <w:sz w:val="24"/>
          <w:szCs w:val="24"/>
        </w:rPr>
        <w:t>Safety, Hazardous Waste</w:t>
      </w:r>
      <w:r w:rsidR="0002145A">
        <w:rPr>
          <w:rFonts w:ascii="Times New Roman" w:hAnsi="Times New Roman" w:cs="Times New Roman"/>
          <w:sz w:val="24"/>
          <w:szCs w:val="24"/>
        </w:rPr>
        <w:t>,</w:t>
      </w:r>
      <w:r>
        <w:rPr>
          <w:rFonts w:ascii="Times New Roman" w:hAnsi="Times New Roman" w:cs="Times New Roman"/>
          <w:sz w:val="24"/>
          <w:szCs w:val="24"/>
        </w:rPr>
        <w:t xml:space="preserve"> and Safety data sheets</w:t>
      </w:r>
      <w:r w:rsidRPr="005625FA">
        <w:rPr>
          <w:rFonts w:ascii="Times New Roman" w:hAnsi="Times New Roman" w:cs="Times New Roman"/>
          <w:sz w:val="24"/>
          <w:szCs w:val="24"/>
        </w:rPr>
        <w:t xml:space="preserve"> training prior to working with any chemicals.  The lab worker should provide documentation that </w:t>
      </w:r>
      <w:r w:rsidR="0002145A">
        <w:rPr>
          <w:rFonts w:ascii="Times New Roman" w:hAnsi="Times New Roman" w:cs="Times New Roman"/>
          <w:sz w:val="24"/>
          <w:szCs w:val="24"/>
        </w:rPr>
        <w:t>they</w:t>
      </w:r>
      <w:r w:rsidRPr="005625FA">
        <w:rPr>
          <w:rFonts w:ascii="Times New Roman" w:hAnsi="Times New Roman" w:cs="Times New Roman"/>
          <w:sz w:val="24"/>
          <w:szCs w:val="24"/>
        </w:rPr>
        <w:t xml:space="preserve"> understand the hazards and has been trained in how to work with </w:t>
      </w:r>
      <w:r w:rsidR="0002145A">
        <w:rPr>
          <w:rFonts w:ascii="Times New Roman" w:hAnsi="Times New Roman" w:cs="Times New Roman"/>
          <w:sz w:val="24"/>
          <w:szCs w:val="24"/>
        </w:rPr>
        <w:t>pyrophoric</w:t>
      </w:r>
      <w:r w:rsidRPr="005625FA">
        <w:rPr>
          <w:rFonts w:ascii="Times New Roman" w:hAnsi="Times New Roman" w:cs="Times New Roman"/>
          <w:sz w:val="24"/>
          <w:szCs w:val="24"/>
        </w:rPr>
        <w:t xml:space="preserve"> safely.</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p>
    <w:p w:rsidR="00076545" w:rsidRPr="00BB13A3" w:rsidRDefault="00076545" w:rsidP="005625FA">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02145A">
        <w:rPr>
          <w:rFonts w:ascii="Times New Roman" w:hAnsi="Times New Roman"/>
          <w:sz w:val="24"/>
          <w:szCs w:val="24"/>
        </w:rPr>
        <w:t xml:space="preserve">pyrophorics, </w:t>
      </w:r>
      <w:r w:rsidRPr="00BB13A3">
        <w:rPr>
          <w:rFonts w:ascii="Times New Roman" w:hAnsi="Times New Roman"/>
          <w:sz w:val="24"/>
          <w:szCs w:val="24"/>
        </w:rPr>
        <w:t xml:space="preserve">designated personnel must provide training to </w:t>
      </w:r>
      <w:r w:rsidR="0002145A">
        <w:rPr>
          <w:rFonts w:ascii="Times New Roman" w:hAnsi="Times New Roman"/>
          <w:sz w:val="24"/>
          <w:szCs w:val="24"/>
        </w:rPr>
        <w:t>their</w:t>
      </w:r>
      <w:r w:rsidRPr="00BB13A3">
        <w:rPr>
          <w:rFonts w:ascii="Times New Roman" w:hAnsi="Times New Roman"/>
          <w:sz w:val="24"/>
          <w:szCs w:val="24"/>
        </w:rPr>
        <w:t xml:space="preserve">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731666" w:rsidRPr="00731666">
        <w:rPr>
          <w:rFonts w:ascii="Times New Roman" w:hAnsi="Times New Roman" w:cs="Times New Roman"/>
          <w:i/>
          <w:sz w:val="24"/>
          <w:szCs w:val="24"/>
        </w:rPr>
        <w:t>Quenching and Disposal of Liquid Pyrophoric Materials</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w:t>
      </w:r>
      <w:r w:rsidR="0002145A">
        <w:rPr>
          <w:rFonts w:ascii="Times New Roman" w:hAnsi="Times New Roman" w:cs="Times New Roman"/>
          <w:sz w:val="24"/>
          <w:szCs w:val="24"/>
        </w:rPr>
        <w:t>oo</w:t>
      </w:r>
      <w:r w:rsidRPr="00BB13A3">
        <w:rPr>
          <w:rFonts w:ascii="Times New Roman" w:hAnsi="Times New Roman" w:cs="Times New Roman"/>
          <w:sz w:val="24"/>
          <w:szCs w:val="24"/>
        </w:rPr>
        <w:t>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5625FA">
        <w:trPr>
          <w:trHeight w:val="576"/>
        </w:trPr>
        <w:tc>
          <w:tcPr>
            <w:tcW w:w="3978" w:type="dxa"/>
            <w:tcBorders>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5625FA">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C212CD" w:rsidRPr="00BB13A3" w:rsidRDefault="00C212CD" w:rsidP="0002145A">
      <w:pPr>
        <w:rPr>
          <w:rFonts w:ascii="Times New Roman" w:hAnsi="Times New Roman" w:cs="Times New Roman"/>
          <w:sz w:val="24"/>
          <w:szCs w:val="24"/>
        </w:rPr>
      </w:pPr>
    </w:p>
    <w:sectPr w:rsidR="00C212CD" w:rsidRPr="00BB13A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70" w:rsidRDefault="00001470" w:rsidP="00076545">
      <w:pPr>
        <w:spacing w:after="0" w:line="240" w:lineRule="auto"/>
      </w:pPr>
      <w:r>
        <w:separator/>
      </w:r>
    </w:p>
  </w:endnote>
  <w:endnote w:type="continuationSeparator" w:id="0">
    <w:p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B92038"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B92038" w:rsidRPr="00B92038">
            <w:rPr>
              <w:noProof/>
              <w:color w:val="FFFFFF" w:themeColor="background1"/>
            </w:rPr>
            <w:t>11</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70" w:rsidRDefault="00001470" w:rsidP="00076545">
      <w:pPr>
        <w:spacing w:after="0" w:line="240" w:lineRule="auto"/>
      </w:pPr>
      <w:r>
        <w:separator/>
      </w:r>
    </w:p>
  </w:footnote>
  <w:footnote w:type="continuationSeparator" w:id="0">
    <w:p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764BDB0"/>
    <w:lvl w:ilvl="0">
      <w:numFmt w:val="bullet"/>
      <w:lvlText w:val=""/>
      <w:lvlJc w:val="left"/>
      <w:pPr>
        <w:ind w:left="440" w:hanging="360"/>
      </w:pPr>
      <w:rPr>
        <w:rFonts w:ascii="Symbol" w:hAnsi="Symbol" w:cs="Symbol"/>
        <w:b w:val="0"/>
        <w:bCs w:val="0"/>
        <w:color w:val="auto"/>
        <w:w w:val="99"/>
        <w:sz w:val="20"/>
        <w:szCs w:val="20"/>
      </w:rPr>
    </w:lvl>
    <w:lvl w:ilvl="1">
      <w:numFmt w:val="bullet"/>
      <w:lvlText w:val="•"/>
      <w:lvlJc w:val="left"/>
      <w:pPr>
        <w:ind w:left="1511" w:hanging="360"/>
      </w:pPr>
    </w:lvl>
    <w:lvl w:ilvl="2">
      <w:numFmt w:val="bullet"/>
      <w:lvlText w:val="•"/>
      <w:lvlJc w:val="left"/>
      <w:pPr>
        <w:ind w:left="2582" w:hanging="360"/>
      </w:pPr>
    </w:lvl>
    <w:lvl w:ilvl="3">
      <w:numFmt w:val="bullet"/>
      <w:lvlText w:val="•"/>
      <w:lvlJc w:val="left"/>
      <w:pPr>
        <w:ind w:left="3654" w:hanging="360"/>
      </w:pPr>
    </w:lvl>
    <w:lvl w:ilvl="4">
      <w:numFmt w:val="bullet"/>
      <w:lvlText w:val="•"/>
      <w:lvlJc w:val="left"/>
      <w:pPr>
        <w:ind w:left="4725" w:hanging="360"/>
      </w:pPr>
    </w:lvl>
    <w:lvl w:ilvl="5">
      <w:numFmt w:val="bullet"/>
      <w:lvlText w:val="•"/>
      <w:lvlJc w:val="left"/>
      <w:pPr>
        <w:ind w:left="5796" w:hanging="360"/>
      </w:pPr>
    </w:lvl>
    <w:lvl w:ilvl="6">
      <w:numFmt w:val="bullet"/>
      <w:lvlText w:val="•"/>
      <w:lvlJc w:val="left"/>
      <w:pPr>
        <w:ind w:left="6867" w:hanging="360"/>
      </w:pPr>
    </w:lvl>
    <w:lvl w:ilvl="7">
      <w:numFmt w:val="bullet"/>
      <w:lvlText w:val="•"/>
      <w:lvlJc w:val="left"/>
      <w:pPr>
        <w:ind w:left="7938" w:hanging="360"/>
      </w:pPr>
    </w:lvl>
    <w:lvl w:ilvl="8">
      <w:numFmt w:val="bullet"/>
      <w:lvlText w:val="•"/>
      <w:lvlJc w:val="left"/>
      <w:pPr>
        <w:ind w:left="9010" w:hanging="360"/>
      </w:pPr>
    </w:lvl>
  </w:abstractNum>
  <w:abstractNum w:abstractNumId="1" w15:restartNumberingAfterBreak="0">
    <w:nsid w:val="00000403"/>
    <w:multiLevelType w:val="multilevel"/>
    <w:tmpl w:val="F49E1A70"/>
    <w:lvl w:ilvl="0">
      <w:numFmt w:val="bullet"/>
      <w:lvlText w:val=""/>
      <w:lvlJc w:val="left"/>
      <w:pPr>
        <w:ind w:left="440" w:hanging="360"/>
      </w:pPr>
      <w:rPr>
        <w:rFonts w:ascii="Symbol" w:hAnsi="Symbol" w:cs="Symbol"/>
        <w:b w:val="0"/>
        <w:bCs w:val="0"/>
        <w:color w:val="auto"/>
        <w:sz w:val="22"/>
        <w:szCs w:val="22"/>
      </w:rPr>
    </w:lvl>
    <w:lvl w:ilvl="1">
      <w:numFmt w:val="bullet"/>
      <w:lvlText w:val=""/>
      <w:lvlJc w:val="left"/>
      <w:pPr>
        <w:ind w:left="829" w:hanging="360"/>
      </w:pPr>
      <w:rPr>
        <w:rFonts w:ascii="Symbol" w:hAnsi="Symbol" w:cs="Symbol"/>
        <w:b w:val="0"/>
        <w:bCs w:val="0"/>
        <w:color w:val="auto"/>
        <w:w w:val="99"/>
        <w:sz w:val="20"/>
        <w:szCs w:val="20"/>
      </w:rPr>
    </w:lvl>
    <w:lvl w:ilvl="2">
      <w:numFmt w:val="bullet"/>
      <w:lvlText w:val="•"/>
      <w:lvlJc w:val="left"/>
      <w:pPr>
        <w:ind w:left="1976" w:hanging="360"/>
      </w:pPr>
    </w:lvl>
    <w:lvl w:ilvl="3">
      <w:numFmt w:val="bullet"/>
      <w:lvlText w:val="•"/>
      <w:lvlJc w:val="left"/>
      <w:pPr>
        <w:ind w:left="3123" w:hanging="360"/>
      </w:pPr>
    </w:lvl>
    <w:lvl w:ilvl="4">
      <w:numFmt w:val="bullet"/>
      <w:lvlText w:val="•"/>
      <w:lvlJc w:val="left"/>
      <w:pPr>
        <w:ind w:left="4270" w:hanging="360"/>
      </w:pPr>
    </w:lvl>
    <w:lvl w:ilvl="5">
      <w:numFmt w:val="bullet"/>
      <w:lvlText w:val="•"/>
      <w:lvlJc w:val="left"/>
      <w:pPr>
        <w:ind w:left="5417" w:hanging="360"/>
      </w:pPr>
    </w:lvl>
    <w:lvl w:ilvl="6">
      <w:numFmt w:val="bullet"/>
      <w:lvlText w:val="•"/>
      <w:lvlJc w:val="left"/>
      <w:pPr>
        <w:ind w:left="6564" w:hanging="360"/>
      </w:pPr>
    </w:lvl>
    <w:lvl w:ilvl="7">
      <w:numFmt w:val="bullet"/>
      <w:lvlText w:val="•"/>
      <w:lvlJc w:val="left"/>
      <w:pPr>
        <w:ind w:left="7711" w:hanging="360"/>
      </w:pPr>
    </w:lvl>
    <w:lvl w:ilvl="8">
      <w:numFmt w:val="bullet"/>
      <w:lvlText w:val="•"/>
      <w:lvlJc w:val="left"/>
      <w:pPr>
        <w:ind w:left="8858" w:hanging="360"/>
      </w:pPr>
    </w:lvl>
  </w:abstractNum>
  <w:abstractNum w:abstractNumId="2" w15:restartNumberingAfterBreak="0">
    <w:nsid w:val="03307DA8"/>
    <w:multiLevelType w:val="hybridMultilevel"/>
    <w:tmpl w:val="AFFE1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E7B92"/>
    <w:multiLevelType w:val="hybridMultilevel"/>
    <w:tmpl w:val="D0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0AF2"/>
    <w:multiLevelType w:val="hybridMultilevel"/>
    <w:tmpl w:val="189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03541"/>
    <w:multiLevelType w:val="hybridMultilevel"/>
    <w:tmpl w:val="9E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57D0F"/>
    <w:multiLevelType w:val="hybridMultilevel"/>
    <w:tmpl w:val="D38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B5A23"/>
    <w:multiLevelType w:val="hybridMultilevel"/>
    <w:tmpl w:val="7DB86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044DDA"/>
    <w:multiLevelType w:val="hybridMultilevel"/>
    <w:tmpl w:val="D862B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D0336"/>
    <w:multiLevelType w:val="hybridMultilevel"/>
    <w:tmpl w:val="C0AC1F98"/>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874CD"/>
    <w:multiLevelType w:val="hybridMultilevel"/>
    <w:tmpl w:val="4E4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CD1593"/>
    <w:multiLevelType w:val="hybridMultilevel"/>
    <w:tmpl w:val="CA0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71642"/>
    <w:multiLevelType w:val="hybridMultilevel"/>
    <w:tmpl w:val="1D94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513EF0"/>
    <w:multiLevelType w:val="hybridMultilevel"/>
    <w:tmpl w:val="6E3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96AC1"/>
    <w:multiLevelType w:val="hybridMultilevel"/>
    <w:tmpl w:val="5CB8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E03AE"/>
    <w:multiLevelType w:val="hybridMultilevel"/>
    <w:tmpl w:val="F93AC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07"/>
    <w:multiLevelType w:val="hybridMultilevel"/>
    <w:tmpl w:val="C3924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66BFE"/>
    <w:multiLevelType w:val="hybridMultilevel"/>
    <w:tmpl w:val="7B3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7723C"/>
    <w:multiLevelType w:val="hybridMultilevel"/>
    <w:tmpl w:val="33A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74283D"/>
    <w:multiLevelType w:val="hybridMultilevel"/>
    <w:tmpl w:val="8EA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30410"/>
    <w:multiLevelType w:val="hybridMultilevel"/>
    <w:tmpl w:val="03C0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05A"/>
    <w:multiLevelType w:val="hybridMultilevel"/>
    <w:tmpl w:val="C29214B6"/>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4284C"/>
    <w:multiLevelType w:val="hybridMultilevel"/>
    <w:tmpl w:val="F2F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3E776F"/>
    <w:multiLevelType w:val="hybridMultilevel"/>
    <w:tmpl w:val="4094B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471622"/>
    <w:multiLevelType w:val="hybridMultilevel"/>
    <w:tmpl w:val="797C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B1E38BF"/>
    <w:multiLevelType w:val="hybridMultilevel"/>
    <w:tmpl w:val="D902B2CA"/>
    <w:lvl w:ilvl="0" w:tplc="85EC528E">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93C87"/>
    <w:multiLevelType w:val="hybridMultilevel"/>
    <w:tmpl w:val="A02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5"/>
  </w:num>
  <w:num w:numId="4">
    <w:abstractNumId w:val="30"/>
  </w:num>
  <w:num w:numId="5">
    <w:abstractNumId w:val="32"/>
  </w:num>
  <w:num w:numId="6">
    <w:abstractNumId w:val="25"/>
  </w:num>
  <w:num w:numId="7">
    <w:abstractNumId w:val="19"/>
  </w:num>
  <w:num w:numId="8">
    <w:abstractNumId w:val="8"/>
  </w:num>
  <w:num w:numId="9">
    <w:abstractNumId w:val="9"/>
  </w:num>
  <w:num w:numId="10">
    <w:abstractNumId w:val="34"/>
  </w:num>
  <w:num w:numId="11">
    <w:abstractNumId w:val="12"/>
  </w:num>
  <w:num w:numId="12">
    <w:abstractNumId w:val="36"/>
  </w:num>
  <w:num w:numId="13">
    <w:abstractNumId w:val="28"/>
  </w:num>
  <w:num w:numId="14">
    <w:abstractNumId w:val="23"/>
  </w:num>
  <w:num w:numId="15">
    <w:abstractNumId w:val="37"/>
  </w:num>
  <w:num w:numId="16">
    <w:abstractNumId w:val="16"/>
  </w:num>
  <w:num w:numId="17">
    <w:abstractNumId w:val="14"/>
  </w:num>
  <w:num w:numId="18">
    <w:abstractNumId w:val="13"/>
  </w:num>
  <w:num w:numId="19">
    <w:abstractNumId w:val="17"/>
  </w:num>
  <w:num w:numId="20">
    <w:abstractNumId w:val="1"/>
  </w:num>
  <w:num w:numId="21">
    <w:abstractNumId w:val="0"/>
  </w:num>
  <w:num w:numId="22">
    <w:abstractNumId w:val="29"/>
  </w:num>
  <w:num w:numId="23">
    <w:abstractNumId w:val="21"/>
  </w:num>
  <w:num w:numId="24">
    <w:abstractNumId w:val="27"/>
  </w:num>
  <w:num w:numId="25">
    <w:abstractNumId w:val="24"/>
  </w:num>
  <w:num w:numId="26">
    <w:abstractNumId w:val="26"/>
  </w:num>
  <w:num w:numId="27">
    <w:abstractNumId w:val="5"/>
  </w:num>
  <w:num w:numId="28">
    <w:abstractNumId w:val="22"/>
  </w:num>
  <w:num w:numId="29">
    <w:abstractNumId w:val="31"/>
  </w:num>
  <w:num w:numId="30">
    <w:abstractNumId w:val="11"/>
  </w:num>
  <w:num w:numId="31">
    <w:abstractNumId w:val="7"/>
  </w:num>
  <w:num w:numId="32">
    <w:abstractNumId w:val="2"/>
  </w:num>
  <w:num w:numId="33">
    <w:abstractNumId w:val="35"/>
  </w:num>
  <w:num w:numId="34">
    <w:abstractNumId w:val="4"/>
  </w:num>
  <w:num w:numId="35">
    <w:abstractNumId w:val="6"/>
  </w:num>
  <w:num w:numId="36">
    <w:abstractNumId w:val="33"/>
  </w:num>
  <w:num w:numId="37">
    <w:abstractNumId w:val="18"/>
  </w:num>
  <w:num w:numId="38">
    <w:abstractNumId w:val="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DAytbCwNDU0szBT0lEKTi0uzszPAykwqwUAY0zdiiwAAAA="/>
  </w:docVars>
  <w:rsids>
    <w:rsidRoot w:val="00076545"/>
    <w:rsid w:val="00001470"/>
    <w:rsid w:val="00015CF3"/>
    <w:rsid w:val="0002145A"/>
    <w:rsid w:val="00027958"/>
    <w:rsid w:val="00030619"/>
    <w:rsid w:val="00076545"/>
    <w:rsid w:val="000D5A37"/>
    <w:rsid w:val="00132A8A"/>
    <w:rsid w:val="00144C40"/>
    <w:rsid w:val="0014510F"/>
    <w:rsid w:val="00154C6B"/>
    <w:rsid w:val="00193212"/>
    <w:rsid w:val="001B31B0"/>
    <w:rsid w:val="001D5B93"/>
    <w:rsid w:val="001E1152"/>
    <w:rsid w:val="001F28D5"/>
    <w:rsid w:val="00281F9C"/>
    <w:rsid w:val="00283C20"/>
    <w:rsid w:val="002C72A0"/>
    <w:rsid w:val="002E0166"/>
    <w:rsid w:val="00304322"/>
    <w:rsid w:val="00307F97"/>
    <w:rsid w:val="00372EE6"/>
    <w:rsid w:val="00373E88"/>
    <w:rsid w:val="003E59F9"/>
    <w:rsid w:val="004E35D3"/>
    <w:rsid w:val="00521F8B"/>
    <w:rsid w:val="005336DD"/>
    <w:rsid w:val="00551685"/>
    <w:rsid w:val="005625FA"/>
    <w:rsid w:val="005B5E45"/>
    <w:rsid w:val="005E2E7B"/>
    <w:rsid w:val="005E3049"/>
    <w:rsid w:val="005E708F"/>
    <w:rsid w:val="006018F8"/>
    <w:rsid w:val="00700150"/>
    <w:rsid w:val="007118FD"/>
    <w:rsid w:val="00731666"/>
    <w:rsid w:val="00780094"/>
    <w:rsid w:val="007E6F34"/>
    <w:rsid w:val="008347FC"/>
    <w:rsid w:val="00881380"/>
    <w:rsid w:val="008829DC"/>
    <w:rsid w:val="008D5454"/>
    <w:rsid w:val="0094569C"/>
    <w:rsid w:val="0095041F"/>
    <w:rsid w:val="009548B1"/>
    <w:rsid w:val="00977867"/>
    <w:rsid w:val="00985636"/>
    <w:rsid w:val="00997B4D"/>
    <w:rsid w:val="009A2D8B"/>
    <w:rsid w:val="00A32EF0"/>
    <w:rsid w:val="00A83349"/>
    <w:rsid w:val="00AB4C78"/>
    <w:rsid w:val="00AD65D4"/>
    <w:rsid w:val="00AE7E05"/>
    <w:rsid w:val="00B16B66"/>
    <w:rsid w:val="00B47C01"/>
    <w:rsid w:val="00B92038"/>
    <w:rsid w:val="00BB13A3"/>
    <w:rsid w:val="00BF1B52"/>
    <w:rsid w:val="00C05260"/>
    <w:rsid w:val="00C115FC"/>
    <w:rsid w:val="00C12A1D"/>
    <w:rsid w:val="00C13EAA"/>
    <w:rsid w:val="00C20EC7"/>
    <w:rsid w:val="00C212CD"/>
    <w:rsid w:val="00C4016F"/>
    <w:rsid w:val="00C459B6"/>
    <w:rsid w:val="00C73630"/>
    <w:rsid w:val="00CF196C"/>
    <w:rsid w:val="00E0172C"/>
    <w:rsid w:val="00E4491B"/>
    <w:rsid w:val="00E53D12"/>
    <w:rsid w:val="00E65E81"/>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28D23C"/>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paragraph" w:customStyle="1" w:styleId="Default">
    <w:name w:val="Default"/>
    <w:rsid w:val="000214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regonstate.edu/sites/ehs.oregonstate.edu/files/pdf/si/eyewash_and_safety_shower_si.pdf" TargetMode="External"/><Relationship Id="rId13" Type="http://schemas.openxmlformats.org/officeDocument/2006/relationships/hyperlink" Target="https://www.sigmaaldrich.com/content/dam/sigma-aldrich/docs/Aldrich/Bulletin/al_techbull_al134.pdf" TargetMode="External"/><Relationship Id="rId18" Type="http://schemas.openxmlformats.org/officeDocument/2006/relationships/hyperlink" Target="https://www.youtube.com/watch?v=WUHrzcEunNY&amp;feature=youtu.b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regonstate.edu/ehs/sds" TargetMode="External"/><Relationship Id="rId12" Type="http://schemas.openxmlformats.org/officeDocument/2006/relationships/hyperlink" Target="http://ehs.oregonstate.edu/waste" TargetMode="External"/><Relationship Id="rId17" Type="http://schemas.openxmlformats.org/officeDocument/2006/relationships/hyperlink" Target="https://ehs.umass.edu/sites/default/files/Pyrophoric%20Liquids%20or%20Solids%20SOP.pdf" TargetMode="External"/><Relationship Id="rId2" Type="http://schemas.openxmlformats.org/officeDocument/2006/relationships/styles" Target="styles.xml"/><Relationship Id="rId16" Type="http://schemas.openxmlformats.org/officeDocument/2006/relationships/hyperlink" Target="https://www.youtube.com/watch?v=21iC4YEgOA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oregonstate.edu/sites/ehs.oregonstate.edu/files/pdf/si/waste_hazardous_disposal_si.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url?client=internal-uds-cse&amp;cx=000747455861485679472:bqyjqaw6sp8&amp;q=http://www.me.umn.edu/intranet/safety/doc/Pyrophoric%2520Chemicals%2520Guide.docx&amp;sa=U&amp;ved=2ahUKEwjQirSIl6HkAhXoFjQIHbAhCnAQFjAAegQIAxAB&amp;usg=AOvVaw0pnB6xupRki_lEz4dnLxKZ" TargetMode="External"/><Relationship Id="rId23" Type="http://schemas.openxmlformats.org/officeDocument/2006/relationships/glossaryDocument" Target="glossary/document.xml"/><Relationship Id="rId10" Type="http://schemas.openxmlformats.org/officeDocument/2006/relationships/hyperlink" Target="http://ehs.oregonstate.edu/sites/ehs.oregonstate.edu/files/pdf/hwlabelfull.pdf" TargetMode="External"/><Relationship Id="rId19" Type="http://schemas.openxmlformats.org/officeDocument/2006/relationships/hyperlink" Target="https://www.youtube.com/watch?v=3_cBVfYVAC8&amp;feature=youtu.be" TargetMode="External"/><Relationship Id="rId4" Type="http://schemas.openxmlformats.org/officeDocument/2006/relationships/webSettings" Target="webSettings.xml"/><Relationship Id="rId9" Type="http://schemas.openxmlformats.org/officeDocument/2006/relationships/hyperlink" Target="http://ehs.oregonstate.edu/sites/ehs.oregonstate.edu/files/pdf/si/spill_response-chemicals_si.019.pdf" TargetMode="External"/><Relationship Id="rId14" Type="http://schemas.openxmlformats.org/officeDocument/2006/relationships/hyperlink" Target="https://www.sigmaaldrich.com/content/dam/sigma-aldrich/docs/Aldrich/Bulletin/al_techbull_al1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4</cp:revision>
  <cp:lastPrinted>2018-10-08T14:54:00Z</cp:lastPrinted>
  <dcterms:created xsi:type="dcterms:W3CDTF">2019-08-26T18:07:00Z</dcterms:created>
  <dcterms:modified xsi:type="dcterms:W3CDTF">2019-08-27T16:21:00Z</dcterms:modified>
</cp:coreProperties>
</file>